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44CBB5" w14:textId="77777777" w:rsidR="00322DF3" w:rsidRPr="007F34DB" w:rsidRDefault="00322DF3" w:rsidP="000A159E">
      <w:pPr>
        <w:spacing w:before="100" w:beforeAutospacing="1" w:after="100" w:afterAutospacing="1"/>
        <w:jc w:val="both"/>
        <w:outlineLvl w:val="0"/>
        <w:rPr>
          <w:rFonts w:ascii="Aptos" w:eastAsia="Times New Roman" w:hAnsi="Aptos" w:cs="Times New Roman"/>
          <w:b/>
          <w:bCs/>
          <w:kern w:val="36"/>
          <w:sz w:val="28"/>
          <w:szCs w:val="28"/>
          <w:lang w:eastAsia="es-ES_tradnl"/>
        </w:rPr>
      </w:pPr>
      <w:r w:rsidRPr="007F34DB">
        <w:rPr>
          <w:rFonts w:ascii="Aptos" w:eastAsia="Times New Roman" w:hAnsi="Aptos" w:cs="Times New Roman"/>
          <w:b/>
          <w:bCs/>
          <w:kern w:val="36"/>
          <w:sz w:val="28"/>
          <w:szCs w:val="28"/>
          <w:lang w:eastAsia="es-ES_tradnl"/>
        </w:rPr>
        <w:t>Un nuevo ciclo para la energía: ordenar para avanzar</w:t>
      </w:r>
    </w:p>
    <w:p w14:paraId="0D47CAA7" w14:textId="7519AC3D"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i/>
          <w:iCs/>
          <w:lang w:eastAsia="es-ES_tradnl"/>
        </w:rPr>
        <w:t>Entrevista a Mauricio Utreras, Director Ejecutivo de GIE</w:t>
      </w:r>
      <w:r w:rsidR="00F32DB3" w:rsidRPr="007F34DB">
        <w:rPr>
          <w:rFonts w:ascii="Aptos" w:eastAsia="Times New Roman" w:hAnsi="Aptos" w:cs="Times New Roman"/>
          <w:i/>
          <w:iCs/>
          <w:lang w:eastAsia="es-ES_tradnl"/>
        </w:rPr>
        <w:t xml:space="preserve"> A.G.</w:t>
      </w:r>
    </w:p>
    <w:p w14:paraId="163631BA" w14:textId="4D5C4FF1" w:rsidR="00322DF3" w:rsidRPr="007F34DB" w:rsidRDefault="00322DF3" w:rsidP="000A159E">
      <w:pPr>
        <w:jc w:val="both"/>
        <w:rPr>
          <w:rFonts w:ascii="Aptos" w:eastAsia="Times New Roman" w:hAnsi="Aptos" w:cs="Times New Roman"/>
          <w:lang w:eastAsia="es-ES_tradnl"/>
        </w:rPr>
      </w:pPr>
    </w:p>
    <w:p w14:paraId="381E63DE" w14:textId="77777777" w:rsidR="00322DF3" w:rsidRPr="007F34DB" w:rsidRDefault="00322DF3" w:rsidP="000A159E">
      <w:pPr>
        <w:spacing w:before="100" w:beforeAutospacing="1" w:after="100" w:afterAutospacing="1"/>
        <w:jc w:val="both"/>
        <w:outlineLvl w:val="1"/>
        <w:rPr>
          <w:rFonts w:ascii="Aptos" w:eastAsia="Times New Roman" w:hAnsi="Aptos" w:cs="Times New Roman"/>
          <w:b/>
          <w:bCs/>
          <w:lang w:eastAsia="es-ES_tradnl"/>
        </w:rPr>
      </w:pPr>
      <w:r w:rsidRPr="007F34DB">
        <w:rPr>
          <w:rFonts w:ascii="Aptos" w:eastAsia="Times New Roman" w:hAnsi="Aptos" w:cs="Times New Roman"/>
          <w:b/>
          <w:bCs/>
          <w:lang w:eastAsia="es-ES_tradnl"/>
        </w:rPr>
        <w:t>1. El escenario político y el cambio de enfoque</w:t>
      </w:r>
    </w:p>
    <w:p w14:paraId="00EA1771" w14:textId="77777777" w:rsidR="00322DF3" w:rsidRPr="007F34DB" w:rsidRDefault="00322DF3" w:rsidP="000A159E">
      <w:pPr>
        <w:spacing w:before="100" w:beforeAutospacing="1" w:after="100" w:afterAutospacing="1"/>
        <w:jc w:val="both"/>
        <w:outlineLvl w:val="2"/>
        <w:rPr>
          <w:rFonts w:ascii="Aptos" w:eastAsia="Times New Roman" w:hAnsi="Aptos" w:cs="Times New Roman"/>
          <w:b/>
          <w:bCs/>
          <w:lang w:eastAsia="es-ES_tradnl"/>
        </w:rPr>
      </w:pPr>
      <w:r w:rsidRPr="007F34DB">
        <w:rPr>
          <w:rFonts w:ascii="Aptos" w:eastAsia="Times New Roman" w:hAnsi="Aptos" w:cs="Times New Roman"/>
          <w:b/>
          <w:bCs/>
          <w:lang w:eastAsia="es-ES_tradnl"/>
        </w:rPr>
        <w:t>Pregunta</w:t>
      </w:r>
    </w:p>
    <w:p w14:paraId="2F91EAB9"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t>En su carta mencionan la necesidad de pasar “del diagnóstico reiterado a decisiones que entreguen orientación”. ¿Cuáles son, específicamente, esos diagnósticos que ya están agotados y cuáles son las primeras tres decisiones concretas que esperan del nuevo gabinete en sus primeros 100 días?</w:t>
      </w:r>
    </w:p>
    <w:p w14:paraId="0BE6762E"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b/>
          <w:bCs/>
          <w:lang w:eastAsia="es-ES_tradnl"/>
        </w:rPr>
        <w:t>Respuesta</w:t>
      </w:r>
      <w:r w:rsidRPr="007F34DB">
        <w:rPr>
          <w:rFonts w:ascii="Aptos" w:eastAsia="Times New Roman" w:hAnsi="Aptos" w:cs="Times New Roman"/>
          <w:lang w:eastAsia="es-ES_tradnl"/>
        </w:rPr>
        <w:br/>
        <w:t>Hay un diagnóstico que hoy es ampliamente compartido: la matriz eléctrica cambió de manera profunda, las energías renovables crecieron con fuerza y el sistema se volvió más exigente de operar y regular. Ese punto ya no ordena la conversación; es el punto de partida.</w:t>
      </w:r>
    </w:p>
    <w:p w14:paraId="23507FD1"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t xml:space="preserve">Lo relevante es la magnitud de ese proceso. En los últimos años, </w:t>
      </w:r>
      <w:r w:rsidRPr="007F34DB">
        <w:rPr>
          <w:rFonts w:ascii="Aptos" w:eastAsia="Times New Roman" w:hAnsi="Aptos" w:cs="Times New Roman"/>
          <w:b/>
          <w:bCs/>
          <w:lang w:eastAsia="es-ES_tradnl"/>
        </w:rPr>
        <w:t>la generación eléctrica creció a un ritmo muy superior al de la economía</w:t>
      </w:r>
      <w:r w:rsidRPr="007F34DB">
        <w:rPr>
          <w:rFonts w:ascii="Aptos" w:eastAsia="Times New Roman" w:hAnsi="Aptos" w:cs="Times New Roman"/>
          <w:lang w:eastAsia="es-ES_tradnl"/>
        </w:rPr>
        <w:t>, incorporando nuevas tecnologías, mayor variabilidad y exigencias operativas inéditas. Ese crecimiento fue una buena noticia para el país, pero abre una etapa distinta, donde la coordinación y la previsibilidad pasan a ser centrales.</w:t>
      </w:r>
    </w:p>
    <w:p w14:paraId="6244407D" w14:textId="78B622E0"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t>Desde ahí, cuando hablamos de orientación</w:t>
      </w:r>
      <w:r w:rsidR="00773DCC" w:rsidRPr="007F34DB">
        <w:rPr>
          <w:rFonts w:ascii="Aptos" w:eastAsia="Times New Roman" w:hAnsi="Aptos" w:cs="Times New Roman"/>
          <w:lang w:eastAsia="es-ES_tradnl"/>
        </w:rPr>
        <w:t>,</w:t>
      </w:r>
      <w:r w:rsidRPr="007F34DB">
        <w:rPr>
          <w:rFonts w:ascii="Aptos" w:eastAsia="Times New Roman" w:hAnsi="Aptos" w:cs="Times New Roman"/>
          <w:lang w:eastAsia="es-ES_tradnl"/>
        </w:rPr>
        <w:t xml:space="preserve"> hablamos de señales de encuadre. En los primeros meses del nuevo gobierno sería valioso avanzar en tres líneas ampliamente compartidas en el sector: </w:t>
      </w:r>
      <w:r w:rsidRPr="007F34DB">
        <w:rPr>
          <w:rFonts w:ascii="Aptos" w:eastAsia="Times New Roman" w:hAnsi="Aptos" w:cs="Times New Roman"/>
          <w:b/>
          <w:bCs/>
          <w:lang w:eastAsia="es-ES_tradnl"/>
        </w:rPr>
        <w:t>certeza regulatoria</w:t>
      </w:r>
      <w:r w:rsidRPr="007F34DB">
        <w:rPr>
          <w:rFonts w:ascii="Aptos" w:eastAsia="Times New Roman" w:hAnsi="Aptos" w:cs="Times New Roman"/>
          <w:lang w:eastAsia="es-ES_tradnl"/>
        </w:rPr>
        <w:t xml:space="preserve"> para inversiones de largo plazo; </w:t>
      </w:r>
      <w:r w:rsidRPr="007F34DB">
        <w:rPr>
          <w:rFonts w:ascii="Aptos" w:eastAsia="Times New Roman" w:hAnsi="Aptos" w:cs="Times New Roman"/>
          <w:b/>
          <w:bCs/>
          <w:lang w:eastAsia="es-ES_tradnl"/>
        </w:rPr>
        <w:t>orden institucional</w:t>
      </w:r>
      <w:r w:rsidRPr="007F34DB">
        <w:rPr>
          <w:rFonts w:ascii="Aptos" w:eastAsia="Times New Roman" w:hAnsi="Aptos" w:cs="Times New Roman"/>
          <w:lang w:eastAsia="es-ES_tradnl"/>
        </w:rPr>
        <w:t xml:space="preserve">, distinguiendo con claridad lo técnico de lo económico; y </w:t>
      </w:r>
      <w:r w:rsidRPr="007F34DB">
        <w:rPr>
          <w:rFonts w:ascii="Aptos" w:eastAsia="Times New Roman" w:hAnsi="Aptos" w:cs="Times New Roman"/>
          <w:b/>
          <w:bCs/>
          <w:lang w:eastAsia="es-ES_tradnl"/>
        </w:rPr>
        <w:t>habilitar el sistema</w:t>
      </w:r>
      <w:r w:rsidRPr="007F34DB">
        <w:rPr>
          <w:rFonts w:ascii="Aptos" w:eastAsia="Times New Roman" w:hAnsi="Aptos" w:cs="Times New Roman"/>
          <w:lang w:eastAsia="es-ES_tradnl"/>
        </w:rPr>
        <w:t xml:space="preserve"> en aspectos clave como transmisión, permisos, almacenamiento y electrificación de la demanda.</w:t>
      </w:r>
    </w:p>
    <w:p w14:paraId="6F6AEF82" w14:textId="008A1BE2" w:rsidR="00322DF3" w:rsidRPr="007F34DB" w:rsidRDefault="00322DF3" w:rsidP="000A159E">
      <w:pPr>
        <w:jc w:val="both"/>
        <w:rPr>
          <w:rFonts w:ascii="Aptos" w:eastAsia="Times New Roman" w:hAnsi="Aptos" w:cs="Times New Roman"/>
          <w:lang w:eastAsia="es-ES_tradnl"/>
        </w:rPr>
      </w:pPr>
    </w:p>
    <w:p w14:paraId="74734C8E" w14:textId="77777777" w:rsidR="00322DF3" w:rsidRPr="007F34DB" w:rsidRDefault="00322DF3" w:rsidP="000A159E">
      <w:pPr>
        <w:spacing w:before="100" w:beforeAutospacing="1" w:after="100" w:afterAutospacing="1"/>
        <w:jc w:val="both"/>
        <w:outlineLvl w:val="2"/>
        <w:rPr>
          <w:rFonts w:ascii="Aptos" w:eastAsia="Times New Roman" w:hAnsi="Aptos" w:cs="Times New Roman"/>
          <w:b/>
          <w:bCs/>
          <w:lang w:eastAsia="es-ES_tradnl"/>
        </w:rPr>
      </w:pPr>
      <w:r w:rsidRPr="007F34DB">
        <w:rPr>
          <w:rFonts w:ascii="Aptos" w:eastAsia="Times New Roman" w:hAnsi="Aptos" w:cs="Times New Roman"/>
          <w:b/>
          <w:bCs/>
          <w:lang w:eastAsia="es-ES_tradnl"/>
        </w:rPr>
        <w:t>Pregunta</w:t>
      </w:r>
    </w:p>
    <w:p w14:paraId="064CC705"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t>Ustedes señalan que el desafío “no es detener la transición, sino ordenarla”. Considerando el perfil del nuevo gobierno, ¿existe el temor de que “ordenar” se interprete políticamente como frenar la descarbonización? ¿Cómo define GIE una transición “ordenada” versus la actual?</w:t>
      </w:r>
    </w:p>
    <w:p w14:paraId="4A7BBFCA"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b/>
          <w:bCs/>
          <w:lang w:eastAsia="es-ES_tradnl"/>
        </w:rPr>
        <w:t>Respuesta</w:t>
      </w:r>
      <w:r w:rsidRPr="007F34DB">
        <w:rPr>
          <w:rFonts w:ascii="Aptos" w:eastAsia="Times New Roman" w:hAnsi="Aptos" w:cs="Times New Roman"/>
          <w:lang w:eastAsia="es-ES_tradnl"/>
        </w:rPr>
        <w:br/>
        <w:t xml:space="preserve">Más que temor, existe la necesidad de explicitar bien el concepto. Ordenar no es frenar; es </w:t>
      </w:r>
      <w:r w:rsidRPr="007F34DB">
        <w:rPr>
          <w:rFonts w:ascii="Aptos" w:eastAsia="Times New Roman" w:hAnsi="Aptos" w:cs="Times New Roman"/>
          <w:b/>
          <w:bCs/>
          <w:lang w:eastAsia="es-ES_tradnl"/>
        </w:rPr>
        <w:t>darle continuidad y estabilidad</w:t>
      </w:r>
      <w:r w:rsidRPr="007F34DB">
        <w:rPr>
          <w:rFonts w:ascii="Aptos" w:eastAsia="Times New Roman" w:hAnsi="Aptos" w:cs="Times New Roman"/>
          <w:lang w:eastAsia="es-ES_tradnl"/>
        </w:rPr>
        <w:t xml:space="preserve"> a un proceso que ya está en marcha.</w:t>
      </w:r>
    </w:p>
    <w:p w14:paraId="08799256"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lastRenderedPageBreak/>
        <w:t xml:space="preserve">La descarbonización en Chile se expresa en hechos concretos: este año se retirará </w:t>
      </w:r>
      <w:r w:rsidRPr="007F34DB">
        <w:rPr>
          <w:rFonts w:ascii="Aptos" w:eastAsia="Times New Roman" w:hAnsi="Aptos" w:cs="Times New Roman"/>
          <w:b/>
          <w:bCs/>
          <w:lang w:eastAsia="es-ES_tradnl"/>
        </w:rPr>
        <w:t>1 GW de capacidad a carbón</w:t>
      </w:r>
      <w:r w:rsidRPr="007F34DB">
        <w:rPr>
          <w:rFonts w:ascii="Aptos" w:eastAsia="Times New Roman" w:hAnsi="Aptos" w:cs="Times New Roman"/>
          <w:lang w:eastAsia="es-ES_tradnl"/>
        </w:rPr>
        <w:t xml:space="preserve">, y existe el compromiso de retirar </w:t>
      </w:r>
      <w:r w:rsidRPr="007F34DB">
        <w:rPr>
          <w:rFonts w:ascii="Aptos" w:eastAsia="Times New Roman" w:hAnsi="Aptos" w:cs="Times New Roman"/>
          <w:b/>
          <w:bCs/>
          <w:lang w:eastAsia="es-ES_tradnl"/>
        </w:rPr>
        <w:t>otro 1 GW hacia fines de la década</w:t>
      </w:r>
      <w:r w:rsidRPr="007F34DB">
        <w:rPr>
          <w:rFonts w:ascii="Aptos" w:eastAsia="Times New Roman" w:hAnsi="Aptos" w:cs="Times New Roman"/>
          <w:lang w:eastAsia="es-ES_tradnl"/>
        </w:rPr>
        <w:t>, siempre que se resguarde la seguridad del sistema. El rumbo está claro.</w:t>
      </w:r>
    </w:p>
    <w:p w14:paraId="3AEF9A93"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t xml:space="preserve">Con </w:t>
      </w:r>
      <w:r w:rsidRPr="007F34DB">
        <w:rPr>
          <w:rFonts w:ascii="Aptos" w:eastAsia="Times New Roman" w:hAnsi="Aptos" w:cs="Times New Roman"/>
          <w:b/>
          <w:bCs/>
          <w:lang w:eastAsia="es-ES_tradnl"/>
        </w:rPr>
        <w:t>más del 60% de la generación proveniente de fuentes renovables en 2025</w:t>
      </w:r>
      <w:r w:rsidRPr="007F34DB">
        <w:rPr>
          <w:rFonts w:ascii="Aptos" w:eastAsia="Times New Roman" w:hAnsi="Aptos" w:cs="Times New Roman"/>
          <w:lang w:eastAsia="es-ES_tradnl"/>
        </w:rPr>
        <w:t>, una transición ordenada es aquella que coordina el crecimiento de la oferta con transmisión, flexibilidad y demanda, de modo que el avance sea sostenible y no genere tensiones innecesarias.</w:t>
      </w:r>
    </w:p>
    <w:p w14:paraId="1509CF20" w14:textId="7494839D" w:rsidR="00322DF3" w:rsidRPr="007F34DB" w:rsidRDefault="00322DF3" w:rsidP="000A159E">
      <w:pPr>
        <w:jc w:val="both"/>
        <w:rPr>
          <w:rFonts w:ascii="Aptos" w:eastAsia="Times New Roman" w:hAnsi="Aptos" w:cs="Times New Roman"/>
          <w:lang w:eastAsia="es-ES_tradnl"/>
        </w:rPr>
      </w:pPr>
    </w:p>
    <w:p w14:paraId="345BAA4F" w14:textId="77777777" w:rsidR="00322DF3" w:rsidRPr="007F34DB" w:rsidRDefault="00322DF3" w:rsidP="000A159E">
      <w:pPr>
        <w:spacing w:before="100" w:beforeAutospacing="1" w:after="100" w:afterAutospacing="1"/>
        <w:jc w:val="both"/>
        <w:outlineLvl w:val="1"/>
        <w:rPr>
          <w:rFonts w:ascii="Aptos" w:eastAsia="Times New Roman" w:hAnsi="Aptos" w:cs="Times New Roman"/>
          <w:b/>
          <w:bCs/>
          <w:lang w:eastAsia="es-ES_tradnl"/>
        </w:rPr>
      </w:pPr>
      <w:r w:rsidRPr="007F34DB">
        <w:rPr>
          <w:rFonts w:ascii="Aptos" w:eastAsia="Times New Roman" w:hAnsi="Aptos" w:cs="Times New Roman"/>
          <w:b/>
          <w:bCs/>
          <w:lang w:eastAsia="es-ES_tradnl"/>
        </w:rPr>
        <w:t>2. Competencia y barreras de mercado</w:t>
      </w:r>
    </w:p>
    <w:p w14:paraId="3BA16E91" w14:textId="77777777" w:rsidR="00322DF3" w:rsidRPr="007F34DB" w:rsidRDefault="00322DF3" w:rsidP="000A159E">
      <w:pPr>
        <w:spacing w:before="100" w:beforeAutospacing="1" w:after="100" w:afterAutospacing="1"/>
        <w:jc w:val="both"/>
        <w:outlineLvl w:val="2"/>
        <w:rPr>
          <w:rFonts w:ascii="Aptos" w:eastAsia="Times New Roman" w:hAnsi="Aptos" w:cs="Times New Roman"/>
          <w:b/>
          <w:bCs/>
          <w:lang w:eastAsia="es-ES_tradnl"/>
        </w:rPr>
      </w:pPr>
      <w:r w:rsidRPr="007F34DB">
        <w:rPr>
          <w:rFonts w:ascii="Aptos" w:eastAsia="Times New Roman" w:hAnsi="Aptos" w:cs="Times New Roman"/>
          <w:b/>
          <w:bCs/>
          <w:lang w:eastAsia="es-ES_tradnl"/>
        </w:rPr>
        <w:t>Pregunta</w:t>
      </w:r>
    </w:p>
    <w:p w14:paraId="3B1B90A9"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t>Hacen hincapié en asegurar que el sistema sea un espacio abierto a la competencia y no solo a los grandes actores. ¿Podría darnos ejemplos concretos de cómo las reglas actuales están favoreciendo la concentración de mercado o impidiendo la entrada de nuevos proyectos independientes?</w:t>
      </w:r>
    </w:p>
    <w:p w14:paraId="2B897106"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b/>
          <w:bCs/>
          <w:lang w:eastAsia="es-ES_tradnl"/>
        </w:rPr>
        <w:t>Respuesta</w:t>
      </w:r>
      <w:r w:rsidRPr="007F34DB">
        <w:rPr>
          <w:rFonts w:ascii="Aptos" w:eastAsia="Times New Roman" w:hAnsi="Aptos" w:cs="Times New Roman"/>
          <w:lang w:eastAsia="es-ES_tradnl"/>
        </w:rPr>
        <w:br/>
        <w:t xml:space="preserve">Un ejemplo ilustrativo son las </w:t>
      </w:r>
      <w:r w:rsidRPr="007F34DB">
        <w:rPr>
          <w:rFonts w:ascii="Aptos" w:eastAsia="Times New Roman" w:hAnsi="Aptos" w:cs="Times New Roman"/>
          <w:b/>
          <w:bCs/>
          <w:lang w:eastAsia="es-ES_tradnl"/>
        </w:rPr>
        <w:t>licitaciones de suministro para clientes regulados</w:t>
      </w:r>
      <w:r w:rsidRPr="007F34DB">
        <w:rPr>
          <w:rFonts w:ascii="Aptos" w:eastAsia="Times New Roman" w:hAnsi="Aptos" w:cs="Times New Roman"/>
          <w:lang w:eastAsia="es-ES_tradnl"/>
        </w:rPr>
        <w:t xml:space="preserve">. En 2015 participaron </w:t>
      </w:r>
      <w:r w:rsidRPr="007F34DB">
        <w:rPr>
          <w:rFonts w:ascii="Aptos" w:eastAsia="Times New Roman" w:hAnsi="Aptos" w:cs="Times New Roman"/>
          <w:b/>
          <w:bCs/>
          <w:lang w:eastAsia="es-ES_tradnl"/>
        </w:rPr>
        <w:t>84 empresas</w:t>
      </w:r>
      <w:r w:rsidRPr="007F34DB">
        <w:rPr>
          <w:rFonts w:ascii="Aptos" w:eastAsia="Times New Roman" w:hAnsi="Aptos" w:cs="Times New Roman"/>
          <w:lang w:eastAsia="es-ES_tradnl"/>
        </w:rPr>
        <w:t xml:space="preserve">; en los procesos más recientes, ese número se redujo a </w:t>
      </w:r>
      <w:r w:rsidRPr="007F34DB">
        <w:rPr>
          <w:rFonts w:ascii="Aptos" w:eastAsia="Times New Roman" w:hAnsi="Aptos" w:cs="Times New Roman"/>
          <w:b/>
          <w:bCs/>
          <w:lang w:eastAsia="es-ES_tradnl"/>
        </w:rPr>
        <w:t>6 empresas</w:t>
      </w:r>
      <w:r w:rsidRPr="007F34DB">
        <w:rPr>
          <w:rFonts w:ascii="Aptos" w:eastAsia="Times New Roman" w:hAnsi="Aptos" w:cs="Times New Roman"/>
          <w:lang w:eastAsia="es-ES_tradnl"/>
        </w:rPr>
        <w:t>.</w:t>
      </w:r>
    </w:p>
    <w:p w14:paraId="52C1AD8C"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t xml:space="preserve">Ese dato muestra cómo la estructura del mercado ha ido cambiando en el tiempo. Hoy existen </w:t>
      </w:r>
      <w:r w:rsidRPr="007F34DB">
        <w:rPr>
          <w:rFonts w:ascii="Aptos" w:eastAsia="Times New Roman" w:hAnsi="Aptos" w:cs="Times New Roman"/>
          <w:b/>
          <w:bCs/>
          <w:lang w:eastAsia="es-ES_tradnl"/>
        </w:rPr>
        <w:t>cerca de 100 generadores en el sistema</w:t>
      </w:r>
      <w:r w:rsidRPr="007F34DB">
        <w:rPr>
          <w:rFonts w:ascii="Aptos" w:eastAsia="Times New Roman" w:hAnsi="Aptos" w:cs="Times New Roman"/>
          <w:lang w:eastAsia="es-ES_tradnl"/>
        </w:rPr>
        <w:t xml:space="preserve">, con una diversidad tecnológica importante, pero la participación efectiva se concentra, lo que convive con una realidad donde alrededor del </w:t>
      </w:r>
      <w:r w:rsidRPr="007F34DB">
        <w:rPr>
          <w:rFonts w:ascii="Aptos" w:eastAsia="Times New Roman" w:hAnsi="Aptos" w:cs="Times New Roman"/>
          <w:b/>
          <w:bCs/>
          <w:lang w:eastAsia="es-ES_tradnl"/>
        </w:rPr>
        <w:t>60% de la generación</w:t>
      </w:r>
      <w:r w:rsidRPr="007F34DB">
        <w:rPr>
          <w:rFonts w:ascii="Aptos" w:eastAsia="Times New Roman" w:hAnsi="Aptos" w:cs="Times New Roman"/>
          <w:lang w:eastAsia="es-ES_tradnl"/>
        </w:rPr>
        <w:t xml:space="preserve"> y el </w:t>
      </w:r>
      <w:r w:rsidRPr="007F34DB">
        <w:rPr>
          <w:rFonts w:ascii="Aptos" w:eastAsia="Times New Roman" w:hAnsi="Aptos" w:cs="Times New Roman"/>
          <w:b/>
          <w:bCs/>
          <w:lang w:eastAsia="es-ES_tradnl"/>
        </w:rPr>
        <w:t>75% del almacenamiento</w:t>
      </w:r>
      <w:r w:rsidRPr="007F34DB">
        <w:rPr>
          <w:rFonts w:ascii="Aptos" w:eastAsia="Times New Roman" w:hAnsi="Aptos" w:cs="Times New Roman"/>
          <w:lang w:eastAsia="es-ES_tradnl"/>
        </w:rPr>
        <w:t xml:space="preserve"> están en manos de pocos actores.</w:t>
      </w:r>
    </w:p>
    <w:p w14:paraId="6B2BC0CE"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t xml:space="preserve">Desde nuestra perspectiva, </w:t>
      </w:r>
      <w:r w:rsidRPr="007F34DB">
        <w:rPr>
          <w:rFonts w:ascii="Aptos" w:eastAsia="Times New Roman" w:hAnsi="Aptos" w:cs="Times New Roman"/>
          <w:b/>
          <w:bCs/>
          <w:lang w:eastAsia="es-ES_tradnl"/>
        </w:rPr>
        <w:t>promover una competencia más amplia</w:t>
      </w:r>
      <w:r w:rsidRPr="007F34DB">
        <w:rPr>
          <w:rFonts w:ascii="Aptos" w:eastAsia="Times New Roman" w:hAnsi="Aptos" w:cs="Times New Roman"/>
          <w:lang w:eastAsia="es-ES_tradnl"/>
        </w:rPr>
        <w:t xml:space="preserve"> no busca tensionar el sistema, sino fortalecerlo, hacerlo más resiliente y generar mejores señales de largo plazo para la inversión.</w:t>
      </w:r>
    </w:p>
    <w:p w14:paraId="08907CBA" w14:textId="2E7FB6CC" w:rsidR="00322DF3" w:rsidRPr="007F34DB" w:rsidRDefault="00322DF3" w:rsidP="000A159E">
      <w:pPr>
        <w:jc w:val="both"/>
        <w:rPr>
          <w:rFonts w:ascii="Aptos" w:eastAsia="Times New Roman" w:hAnsi="Aptos" w:cs="Times New Roman"/>
          <w:lang w:eastAsia="es-ES_tradnl"/>
        </w:rPr>
      </w:pPr>
    </w:p>
    <w:p w14:paraId="2A0D8F9D" w14:textId="77777777" w:rsidR="00322DF3" w:rsidRPr="007F34DB" w:rsidRDefault="00322DF3" w:rsidP="000A159E">
      <w:pPr>
        <w:spacing w:before="100" w:beforeAutospacing="1" w:after="100" w:afterAutospacing="1"/>
        <w:jc w:val="both"/>
        <w:outlineLvl w:val="2"/>
        <w:rPr>
          <w:rFonts w:ascii="Aptos" w:eastAsia="Times New Roman" w:hAnsi="Aptos" w:cs="Times New Roman"/>
          <w:b/>
          <w:bCs/>
          <w:lang w:eastAsia="es-ES_tradnl"/>
        </w:rPr>
      </w:pPr>
      <w:r w:rsidRPr="007F34DB">
        <w:rPr>
          <w:rFonts w:ascii="Aptos" w:eastAsia="Times New Roman" w:hAnsi="Aptos" w:cs="Times New Roman"/>
          <w:b/>
          <w:bCs/>
          <w:lang w:eastAsia="es-ES_tradnl"/>
        </w:rPr>
        <w:t>Pregunta</w:t>
      </w:r>
    </w:p>
    <w:p w14:paraId="654B3BAC"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t xml:space="preserve">Mencionan tensiones visibles cuando las reglas no entregan previsibilidad. ¿Se refieren a problemas con la transmisión, la </w:t>
      </w:r>
      <w:proofErr w:type="spellStart"/>
      <w:r w:rsidRPr="007F34DB">
        <w:rPr>
          <w:rFonts w:ascii="Aptos" w:eastAsia="Times New Roman" w:hAnsi="Aptos" w:cs="Times New Roman"/>
          <w:lang w:eastAsia="es-ES_tradnl"/>
        </w:rPr>
        <w:t>permisología</w:t>
      </w:r>
      <w:proofErr w:type="spellEnd"/>
      <w:r w:rsidRPr="007F34DB">
        <w:rPr>
          <w:rFonts w:ascii="Aptos" w:eastAsia="Times New Roman" w:hAnsi="Aptos" w:cs="Times New Roman"/>
          <w:lang w:eastAsia="es-ES_tradnl"/>
        </w:rPr>
        <w:t xml:space="preserve"> o a cambios regulatorios intempestivos? ¿Qué “regla inestable” ha hecho más daño a la inversión en el último período?</w:t>
      </w:r>
    </w:p>
    <w:p w14:paraId="123D13D2"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b/>
          <w:bCs/>
          <w:lang w:eastAsia="es-ES_tradnl"/>
        </w:rPr>
        <w:t>Respuesta</w:t>
      </w:r>
      <w:r w:rsidRPr="007F34DB">
        <w:rPr>
          <w:rFonts w:ascii="Aptos" w:eastAsia="Times New Roman" w:hAnsi="Aptos" w:cs="Times New Roman"/>
          <w:lang w:eastAsia="es-ES_tradnl"/>
        </w:rPr>
        <w:br/>
        <w:t xml:space="preserve">Más que una regla puntual, se trata de la acumulación de factores. La transmisión </w:t>
      </w:r>
      <w:r w:rsidRPr="007F34DB">
        <w:rPr>
          <w:rFonts w:ascii="Aptos" w:eastAsia="Times New Roman" w:hAnsi="Aptos" w:cs="Times New Roman"/>
          <w:lang w:eastAsia="es-ES_tradnl"/>
        </w:rPr>
        <w:lastRenderedPageBreak/>
        <w:t xml:space="preserve">es el más visible: a fines de 2025, </w:t>
      </w:r>
      <w:r w:rsidRPr="007F34DB">
        <w:rPr>
          <w:rFonts w:ascii="Aptos" w:eastAsia="Times New Roman" w:hAnsi="Aptos" w:cs="Times New Roman"/>
          <w:b/>
          <w:bCs/>
          <w:lang w:eastAsia="es-ES_tradnl"/>
        </w:rPr>
        <w:t>más del 70% de las obras en desarrollo presentaban atrasos</w:t>
      </w:r>
      <w:r w:rsidRPr="007F34DB">
        <w:rPr>
          <w:rFonts w:ascii="Aptos" w:eastAsia="Times New Roman" w:hAnsi="Aptos" w:cs="Times New Roman"/>
          <w:lang w:eastAsia="es-ES_tradnl"/>
        </w:rPr>
        <w:t>, lo que genera congestión y mayores costos para el sistema.</w:t>
      </w:r>
    </w:p>
    <w:p w14:paraId="4C2E2D10"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t xml:space="preserve">A eso se suma una </w:t>
      </w:r>
      <w:proofErr w:type="spellStart"/>
      <w:r w:rsidRPr="007F34DB">
        <w:rPr>
          <w:rFonts w:ascii="Aptos" w:eastAsia="Times New Roman" w:hAnsi="Aptos" w:cs="Times New Roman"/>
          <w:b/>
          <w:bCs/>
          <w:lang w:eastAsia="es-ES_tradnl"/>
        </w:rPr>
        <w:t>permisología</w:t>
      </w:r>
      <w:proofErr w:type="spellEnd"/>
      <w:r w:rsidRPr="007F34DB">
        <w:rPr>
          <w:rFonts w:ascii="Aptos" w:eastAsia="Times New Roman" w:hAnsi="Aptos" w:cs="Times New Roman"/>
          <w:b/>
          <w:bCs/>
          <w:lang w:eastAsia="es-ES_tradnl"/>
        </w:rPr>
        <w:t xml:space="preserve"> extensa</w:t>
      </w:r>
      <w:r w:rsidRPr="007F34DB">
        <w:rPr>
          <w:rFonts w:ascii="Aptos" w:eastAsia="Times New Roman" w:hAnsi="Aptos" w:cs="Times New Roman"/>
          <w:lang w:eastAsia="es-ES_tradnl"/>
        </w:rPr>
        <w:t xml:space="preserve">, con tiempos poco previsibles, y debates regulatorios donde a veces se cruzan planos técnicos y económicos. Por eso insistimos en ordenar las discusiones: no para cuestionar decisiones, sino para </w:t>
      </w:r>
      <w:r w:rsidRPr="007F34DB">
        <w:rPr>
          <w:rFonts w:ascii="Aptos" w:eastAsia="Times New Roman" w:hAnsi="Aptos" w:cs="Times New Roman"/>
          <w:b/>
          <w:bCs/>
          <w:lang w:eastAsia="es-ES_tradnl"/>
        </w:rPr>
        <w:t>dar coherencia y previsibilidad</w:t>
      </w:r>
      <w:r w:rsidRPr="007F34DB">
        <w:rPr>
          <w:rFonts w:ascii="Aptos" w:eastAsia="Times New Roman" w:hAnsi="Aptos" w:cs="Times New Roman"/>
          <w:lang w:eastAsia="es-ES_tradnl"/>
        </w:rPr>
        <w:t>, que es lo que finalmente sostiene la inversión.</w:t>
      </w:r>
    </w:p>
    <w:p w14:paraId="2283AD7C" w14:textId="2FDF8F0D" w:rsidR="00322DF3" w:rsidRPr="007F34DB" w:rsidRDefault="00322DF3" w:rsidP="000A159E">
      <w:pPr>
        <w:jc w:val="both"/>
        <w:rPr>
          <w:rFonts w:ascii="Aptos" w:eastAsia="Times New Roman" w:hAnsi="Aptos" w:cs="Times New Roman"/>
          <w:lang w:eastAsia="es-ES_tradnl"/>
        </w:rPr>
      </w:pPr>
    </w:p>
    <w:p w14:paraId="30A32C63" w14:textId="77777777" w:rsidR="00322DF3" w:rsidRPr="007F34DB" w:rsidRDefault="00322DF3" w:rsidP="000A159E">
      <w:pPr>
        <w:spacing w:before="100" w:beforeAutospacing="1" w:after="100" w:afterAutospacing="1"/>
        <w:jc w:val="both"/>
        <w:outlineLvl w:val="1"/>
        <w:rPr>
          <w:rFonts w:ascii="Aptos" w:eastAsia="Times New Roman" w:hAnsi="Aptos" w:cs="Times New Roman"/>
          <w:b/>
          <w:bCs/>
          <w:lang w:eastAsia="es-ES_tradnl"/>
        </w:rPr>
      </w:pPr>
      <w:r w:rsidRPr="007F34DB">
        <w:rPr>
          <w:rFonts w:ascii="Aptos" w:eastAsia="Times New Roman" w:hAnsi="Aptos" w:cs="Times New Roman"/>
          <w:b/>
          <w:bCs/>
          <w:lang w:eastAsia="es-ES_tradnl"/>
        </w:rPr>
        <w:t>3. Seguridad y suficiencia del sistema (2026–2030)</w:t>
      </w:r>
    </w:p>
    <w:p w14:paraId="7EEAB099" w14:textId="77777777" w:rsidR="00322DF3" w:rsidRPr="007F34DB" w:rsidRDefault="00322DF3" w:rsidP="000A159E">
      <w:pPr>
        <w:spacing w:before="100" w:beforeAutospacing="1" w:after="100" w:afterAutospacing="1"/>
        <w:jc w:val="both"/>
        <w:outlineLvl w:val="2"/>
        <w:rPr>
          <w:rFonts w:ascii="Aptos" w:eastAsia="Times New Roman" w:hAnsi="Aptos" w:cs="Times New Roman"/>
          <w:b/>
          <w:bCs/>
          <w:lang w:eastAsia="es-ES_tradnl"/>
        </w:rPr>
      </w:pPr>
      <w:r w:rsidRPr="007F34DB">
        <w:rPr>
          <w:rFonts w:ascii="Aptos" w:eastAsia="Times New Roman" w:hAnsi="Aptos" w:cs="Times New Roman"/>
          <w:b/>
          <w:bCs/>
          <w:lang w:eastAsia="es-ES_tradnl"/>
        </w:rPr>
        <w:t>Pregunta</w:t>
      </w:r>
    </w:p>
    <w:p w14:paraId="0C85C73C"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t>Hablan de la necesidad de “señales que permitan asegurar suficiencia en el largo plazo”. En un contexto de alta penetración renovable, ¿está Chile hoy en riesgo de no tener energía confiable si no se ajustan los incentivos para el almacenamiento y la flexibilidad ahora?</w:t>
      </w:r>
    </w:p>
    <w:p w14:paraId="033900C6"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b/>
          <w:bCs/>
          <w:lang w:eastAsia="es-ES_tradnl"/>
        </w:rPr>
        <w:t>Respuesta</w:t>
      </w:r>
      <w:r w:rsidRPr="007F34DB">
        <w:rPr>
          <w:rFonts w:ascii="Aptos" w:eastAsia="Times New Roman" w:hAnsi="Aptos" w:cs="Times New Roman"/>
          <w:lang w:eastAsia="es-ES_tradnl"/>
        </w:rPr>
        <w:br/>
        <w:t xml:space="preserve">Más que un riesgo inmediato, es una </w:t>
      </w:r>
      <w:r w:rsidRPr="007F34DB">
        <w:rPr>
          <w:rFonts w:ascii="Aptos" w:eastAsia="Times New Roman" w:hAnsi="Aptos" w:cs="Times New Roman"/>
          <w:b/>
          <w:bCs/>
          <w:lang w:eastAsia="es-ES_tradnl"/>
        </w:rPr>
        <w:t>decisión estratégica de mediano plazo</w:t>
      </w:r>
      <w:r w:rsidRPr="007F34DB">
        <w:rPr>
          <w:rFonts w:ascii="Aptos" w:eastAsia="Times New Roman" w:hAnsi="Aptos" w:cs="Times New Roman"/>
          <w:lang w:eastAsia="es-ES_tradnl"/>
        </w:rPr>
        <w:t xml:space="preserve">. El crecimiento sostenido de la generación renovable plantea el desafío de </w:t>
      </w:r>
      <w:r w:rsidRPr="007F34DB">
        <w:rPr>
          <w:rFonts w:ascii="Aptos" w:eastAsia="Times New Roman" w:hAnsi="Aptos" w:cs="Times New Roman"/>
          <w:b/>
          <w:bCs/>
          <w:lang w:eastAsia="es-ES_tradnl"/>
        </w:rPr>
        <w:t>acompañar ese desarrollo con mayor flexibilidad y capacidad de respuesta del sistema</w:t>
      </w:r>
      <w:r w:rsidRPr="007F34DB">
        <w:rPr>
          <w:rFonts w:ascii="Aptos" w:eastAsia="Times New Roman" w:hAnsi="Aptos" w:cs="Times New Roman"/>
          <w:lang w:eastAsia="es-ES_tradnl"/>
        </w:rPr>
        <w:t>.</w:t>
      </w:r>
    </w:p>
    <w:p w14:paraId="3CDF5358"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t xml:space="preserve">La señal de inversión es positiva: en 2025, el sector energético movilizó del orden de </w:t>
      </w:r>
      <w:r w:rsidRPr="007F34DB">
        <w:rPr>
          <w:rFonts w:ascii="Aptos" w:eastAsia="Times New Roman" w:hAnsi="Aptos" w:cs="Times New Roman"/>
          <w:b/>
          <w:bCs/>
          <w:lang w:eastAsia="es-ES_tradnl"/>
        </w:rPr>
        <w:t>US$4.500 millones</w:t>
      </w:r>
      <w:r w:rsidRPr="007F34DB">
        <w:rPr>
          <w:rFonts w:ascii="Aptos" w:eastAsia="Times New Roman" w:hAnsi="Aptos" w:cs="Times New Roman"/>
          <w:lang w:eastAsia="es-ES_tradnl"/>
        </w:rPr>
        <w:t>, con un peso creciente en solar y almacenamiento. El desafío ahora es asegurar que la regulación y la infraestructura acompañen ese esfuerzo para mantener altos estándares de confiabilidad.</w:t>
      </w:r>
    </w:p>
    <w:p w14:paraId="5E8D1F46" w14:textId="013D8337" w:rsidR="00322DF3" w:rsidRPr="007F34DB" w:rsidRDefault="00322DF3" w:rsidP="000A159E">
      <w:pPr>
        <w:jc w:val="both"/>
        <w:rPr>
          <w:rFonts w:ascii="Aptos" w:eastAsia="Times New Roman" w:hAnsi="Aptos" w:cs="Times New Roman"/>
          <w:lang w:eastAsia="es-ES_tradnl"/>
        </w:rPr>
      </w:pPr>
    </w:p>
    <w:p w14:paraId="66F5BC22" w14:textId="77777777" w:rsidR="00322DF3" w:rsidRPr="007F34DB" w:rsidRDefault="00322DF3" w:rsidP="000A159E">
      <w:pPr>
        <w:spacing w:before="100" w:beforeAutospacing="1" w:after="100" w:afterAutospacing="1"/>
        <w:jc w:val="both"/>
        <w:outlineLvl w:val="2"/>
        <w:rPr>
          <w:rFonts w:ascii="Aptos" w:eastAsia="Times New Roman" w:hAnsi="Aptos" w:cs="Times New Roman"/>
          <w:b/>
          <w:bCs/>
          <w:lang w:eastAsia="es-ES_tradnl"/>
        </w:rPr>
      </w:pPr>
      <w:r w:rsidRPr="007F34DB">
        <w:rPr>
          <w:rFonts w:ascii="Aptos" w:eastAsia="Times New Roman" w:hAnsi="Aptos" w:cs="Times New Roman"/>
          <w:b/>
          <w:bCs/>
          <w:lang w:eastAsia="es-ES_tradnl"/>
        </w:rPr>
        <w:t>Pregunta</w:t>
      </w:r>
    </w:p>
    <w:p w14:paraId="7C3F6048"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t>Dado que GIE agrupa a empresas de generación y almacenamiento, ¿qué rol específico debe jugar el almacenamiento en este “ordenamiento” de la transición y qué falta en la regulación actual para que estas inversiones se materialicen a la velocidad requerida?</w:t>
      </w:r>
    </w:p>
    <w:p w14:paraId="265D94A2"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b/>
          <w:bCs/>
          <w:lang w:eastAsia="es-ES_tradnl"/>
        </w:rPr>
        <w:t>Respuesta</w:t>
      </w:r>
      <w:r w:rsidRPr="007F34DB">
        <w:rPr>
          <w:rFonts w:ascii="Aptos" w:eastAsia="Times New Roman" w:hAnsi="Aptos" w:cs="Times New Roman"/>
          <w:lang w:eastAsia="es-ES_tradnl"/>
        </w:rPr>
        <w:br/>
        <w:t>El almacenamiento cumple un rol cada vez más relevante como complemento a la generación: aporta flexibilidad, mejora la integración de energías renovables y refuerza la seguridad del sistema en momentos críticos.</w:t>
      </w:r>
    </w:p>
    <w:p w14:paraId="6F1BC2AC"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t xml:space="preserve">Hoy el foco está en </w:t>
      </w:r>
      <w:r w:rsidRPr="007F34DB">
        <w:rPr>
          <w:rFonts w:ascii="Aptos" w:eastAsia="Times New Roman" w:hAnsi="Aptos" w:cs="Times New Roman"/>
          <w:b/>
          <w:bCs/>
          <w:lang w:eastAsia="es-ES_tradnl"/>
        </w:rPr>
        <w:t>consolidar un marco regulatorio claro y coherente</w:t>
      </w:r>
      <w:r w:rsidRPr="007F34DB">
        <w:rPr>
          <w:rFonts w:ascii="Aptos" w:eastAsia="Times New Roman" w:hAnsi="Aptos" w:cs="Times New Roman"/>
          <w:lang w:eastAsia="es-ES_tradnl"/>
        </w:rPr>
        <w:t xml:space="preserve">, que reconozca ese aporte y entregue señales estables para su despliegue. Más que grandes cambios, lo que se requiere es </w:t>
      </w:r>
      <w:r w:rsidRPr="007F34DB">
        <w:rPr>
          <w:rFonts w:ascii="Aptos" w:eastAsia="Times New Roman" w:hAnsi="Aptos" w:cs="Times New Roman"/>
          <w:b/>
          <w:bCs/>
          <w:lang w:eastAsia="es-ES_tradnl"/>
        </w:rPr>
        <w:t>certeza y continuidad</w:t>
      </w:r>
      <w:r w:rsidRPr="007F34DB">
        <w:rPr>
          <w:rFonts w:ascii="Aptos" w:eastAsia="Times New Roman" w:hAnsi="Aptos" w:cs="Times New Roman"/>
          <w:lang w:eastAsia="es-ES_tradnl"/>
        </w:rPr>
        <w:t>, para que la inversión siga acompañando el crecimiento del sistema.</w:t>
      </w:r>
    </w:p>
    <w:p w14:paraId="170826B0" w14:textId="078E82D3" w:rsidR="00322DF3" w:rsidRPr="007F34DB" w:rsidRDefault="00322DF3" w:rsidP="000A159E">
      <w:pPr>
        <w:jc w:val="both"/>
        <w:rPr>
          <w:rFonts w:ascii="Aptos" w:eastAsia="Times New Roman" w:hAnsi="Aptos" w:cs="Times New Roman"/>
          <w:lang w:eastAsia="es-ES_tradnl"/>
        </w:rPr>
      </w:pPr>
    </w:p>
    <w:p w14:paraId="2EC0FE7D" w14:textId="77777777" w:rsidR="00322DF3" w:rsidRPr="007F34DB" w:rsidRDefault="00322DF3" w:rsidP="000A159E">
      <w:pPr>
        <w:spacing w:before="100" w:beforeAutospacing="1" w:after="100" w:afterAutospacing="1"/>
        <w:jc w:val="both"/>
        <w:outlineLvl w:val="1"/>
        <w:rPr>
          <w:rFonts w:ascii="Aptos" w:eastAsia="Times New Roman" w:hAnsi="Aptos" w:cs="Times New Roman"/>
          <w:b/>
          <w:bCs/>
          <w:lang w:eastAsia="es-ES_tradnl"/>
        </w:rPr>
      </w:pPr>
      <w:r w:rsidRPr="007F34DB">
        <w:rPr>
          <w:rFonts w:ascii="Aptos" w:eastAsia="Times New Roman" w:hAnsi="Aptos" w:cs="Times New Roman"/>
          <w:b/>
          <w:bCs/>
          <w:lang w:eastAsia="es-ES_tradnl"/>
        </w:rPr>
        <w:t>4. Relación con las nuevas autoridades</w:t>
      </w:r>
    </w:p>
    <w:p w14:paraId="3CEFBF00" w14:textId="77777777" w:rsidR="00322DF3" w:rsidRPr="007F34DB" w:rsidRDefault="00322DF3" w:rsidP="000A159E">
      <w:pPr>
        <w:spacing w:before="100" w:beforeAutospacing="1" w:after="100" w:afterAutospacing="1"/>
        <w:jc w:val="both"/>
        <w:outlineLvl w:val="2"/>
        <w:rPr>
          <w:rFonts w:ascii="Aptos" w:eastAsia="Times New Roman" w:hAnsi="Aptos" w:cs="Times New Roman"/>
          <w:b/>
          <w:bCs/>
          <w:lang w:eastAsia="es-ES_tradnl"/>
        </w:rPr>
      </w:pPr>
      <w:r w:rsidRPr="007F34DB">
        <w:rPr>
          <w:rFonts w:ascii="Aptos" w:eastAsia="Times New Roman" w:hAnsi="Aptos" w:cs="Times New Roman"/>
          <w:b/>
          <w:bCs/>
          <w:lang w:eastAsia="es-ES_tradnl"/>
        </w:rPr>
        <w:t>Pregunta</w:t>
      </w:r>
    </w:p>
    <w:p w14:paraId="547F48AD"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t>Ofrecen su experiencia como generadores “sin posiciones dominantes” para fortalecer el sistema. ¿Sienten que la voz de los generadores independientes ha sido subrepresentada en las mesas de política energética anteriores? ¿Qué visión distinta traen ustedes a la mesa?</w:t>
      </w:r>
    </w:p>
    <w:p w14:paraId="32140158"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b/>
          <w:bCs/>
          <w:lang w:eastAsia="es-ES_tradnl"/>
        </w:rPr>
        <w:t>Respuesta</w:t>
      </w:r>
      <w:r w:rsidRPr="007F34DB">
        <w:rPr>
          <w:rFonts w:ascii="Aptos" w:eastAsia="Times New Roman" w:hAnsi="Aptos" w:cs="Times New Roman"/>
          <w:lang w:eastAsia="es-ES_tradnl"/>
        </w:rPr>
        <w:br/>
        <w:t xml:space="preserve">GIE reúne a </w:t>
      </w:r>
      <w:r w:rsidRPr="007F34DB">
        <w:rPr>
          <w:rFonts w:ascii="Aptos" w:eastAsia="Times New Roman" w:hAnsi="Aptos" w:cs="Times New Roman"/>
          <w:b/>
          <w:bCs/>
          <w:lang w:eastAsia="es-ES_tradnl"/>
        </w:rPr>
        <w:t>21 empresas generadoras</w:t>
      </w:r>
      <w:r w:rsidRPr="007F34DB">
        <w:rPr>
          <w:rFonts w:ascii="Aptos" w:eastAsia="Times New Roman" w:hAnsi="Aptos" w:cs="Times New Roman"/>
          <w:lang w:eastAsia="es-ES_tradnl"/>
        </w:rPr>
        <w:t>, con capitales nacionales e internacionales, que compiten entre sí y no tienen posiciones dominantes. Esa diversidad refleja bien la nueva realidad del sistema eléctrico chileno.</w:t>
      </w:r>
    </w:p>
    <w:p w14:paraId="44846768"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t xml:space="preserve">Nuestra mirada pone el acento en </w:t>
      </w:r>
      <w:r w:rsidRPr="007F34DB">
        <w:rPr>
          <w:rFonts w:ascii="Aptos" w:eastAsia="Times New Roman" w:hAnsi="Aptos" w:cs="Times New Roman"/>
          <w:b/>
          <w:bCs/>
          <w:lang w:eastAsia="es-ES_tradnl"/>
        </w:rPr>
        <w:t>competencia efectiva, estabilidad regulatoria y seguridad del sistema</w:t>
      </w:r>
      <w:r w:rsidRPr="007F34DB">
        <w:rPr>
          <w:rFonts w:ascii="Aptos" w:eastAsia="Times New Roman" w:hAnsi="Aptos" w:cs="Times New Roman"/>
          <w:lang w:eastAsia="es-ES_tradnl"/>
        </w:rPr>
        <w:t>, entendiendo que la electricidad será cada vez más central para el crecimiento, la electrificación y la vida cotidiana. Creemos que esa perspectiva complementa el debate y puede aportar a decisiones más equilibradas.</w:t>
      </w:r>
    </w:p>
    <w:p w14:paraId="267FE3D7" w14:textId="4CEEFDE1" w:rsidR="00322DF3" w:rsidRPr="007F34DB" w:rsidRDefault="00322DF3" w:rsidP="000A159E">
      <w:pPr>
        <w:jc w:val="both"/>
        <w:rPr>
          <w:rFonts w:ascii="Aptos" w:eastAsia="Times New Roman" w:hAnsi="Aptos" w:cs="Times New Roman"/>
          <w:lang w:eastAsia="es-ES_tradnl"/>
        </w:rPr>
      </w:pPr>
    </w:p>
    <w:p w14:paraId="13546788" w14:textId="77777777" w:rsidR="00322DF3" w:rsidRPr="007F34DB" w:rsidRDefault="00322DF3" w:rsidP="000A159E">
      <w:pPr>
        <w:spacing w:before="100" w:beforeAutospacing="1" w:after="100" w:afterAutospacing="1"/>
        <w:jc w:val="both"/>
        <w:outlineLvl w:val="2"/>
        <w:rPr>
          <w:rFonts w:ascii="Aptos" w:eastAsia="Times New Roman" w:hAnsi="Aptos" w:cs="Times New Roman"/>
          <w:b/>
          <w:bCs/>
          <w:lang w:eastAsia="es-ES_tradnl"/>
        </w:rPr>
      </w:pPr>
      <w:r w:rsidRPr="007F34DB">
        <w:rPr>
          <w:rFonts w:ascii="Aptos" w:eastAsia="Times New Roman" w:hAnsi="Aptos" w:cs="Times New Roman"/>
          <w:b/>
          <w:bCs/>
          <w:lang w:eastAsia="es-ES_tradnl"/>
        </w:rPr>
        <w:t>Pregunta</w:t>
      </w:r>
    </w:p>
    <w:p w14:paraId="28147744" w14:textId="77777777"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t>Para cerrar, si tuviera que titular el reportaje con la meta principal que GIE tiene para el año 2026, ¿cuál sería esa frase que resume su expectativa para este nuevo ciclo?</w:t>
      </w:r>
    </w:p>
    <w:p w14:paraId="343041A6" w14:textId="1D8CDBAA"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b/>
          <w:bCs/>
          <w:lang w:eastAsia="es-ES_tradnl"/>
        </w:rPr>
        <w:t>Respuesta</w:t>
      </w:r>
      <w:r w:rsidRPr="007F34DB">
        <w:rPr>
          <w:rFonts w:ascii="Aptos" w:eastAsia="Times New Roman" w:hAnsi="Aptos" w:cs="Times New Roman"/>
          <w:lang w:eastAsia="es-ES_tradnl"/>
        </w:rPr>
        <w:br/>
      </w:r>
      <w:r w:rsidRPr="007F34DB">
        <w:rPr>
          <w:rFonts w:ascii="Aptos" w:eastAsia="Times New Roman" w:hAnsi="Aptos" w:cs="Times New Roman"/>
          <w:b/>
          <w:bCs/>
          <w:lang w:eastAsia="es-ES_tradnl"/>
        </w:rPr>
        <w:t>“Consolidar la transición con estabilidad y visión de largo plazo”</w:t>
      </w:r>
      <w:r w:rsidR="00C849A6" w:rsidRPr="007F34DB">
        <w:rPr>
          <w:rFonts w:ascii="Aptos" w:eastAsia="Times New Roman" w:hAnsi="Aptos" w:cs="Times New Roman"/>
          <w:b/>
          <w:bCs/>
          <w:lang w:eastAsia="es-ES_tradnl"/>
        </w:rPr>
        <w:t>.</w:t>
      </w:r>
    </w:p>
    <w:p w14:paraId="3A533DE5" w14:textId="1F048C2C" w:rsidR="00322DF3" w:rsidRPr="007F34DB" w:rsidRDefault="00322DF3" w:rsidP="000A159E">
      <w:pPr>
        <w:spacing w:before="100" w:beforeAutospacing="1" w:after="100" w:afterAutospacing="1"/>
        <w:jc w:val="both"/>
        <w:rPr>
          <w:rFonts w:ascii="Aptos" w:eastAsia="Times New Roman" w:hAnsi="Aptos" w:cs="Times New Roman"/>
          <w:lang w:eastAsia="es-ES_tradnl"/>
        </w:rPr>
      </w:pPr>
      <w:r w:rsidRPr="007F34DB">
        <w:rPr>
          <w:rFonts w:ascii="Aptos" w:eastAsia="Times New Roman" w:hAnsi="Aptos" w:cs="Times New Roman"/>
          <w:lang w:eastAsia="es-ES_tradnl"/>
        </w:rPr>
        <w:t xml:space="preserve">Porque la transición energética ya </w:t>
      </w:r>
      <w:r w:rsidR="008C4BC4" w:rsidRPr="007F34DB">
        <w:rPr>
          <w:rFonts w:ascii="Aptos" w:eastAsia="Times New Roman" w:hAnsi="Aptos" w:cs="Times New Roman"/>
          <w:lang w:eastAsia="es-ES_tradnl"/>
        </w:rPr>
        <w:t>generó</w:t>
      </w:r>
      <w:r w:rsidRPr="007F34DB">
        <w:rPr>
          <w:rFonts w:ascii="Aptos" w:eastAsia="Times New Roman" w:hAnsi="Aptos" w:cs="Times New Roman"/>
          <w:lang w:eastAsia="es-ES_tradnl"/>
        </w:rPr>
        <w:t xml:space="preserve"> resultados concretos. El desafío ahora es </w:t>
      </w:r>
      <w:r w:rsidRPr="007F34DB">
        <w:rPr>
          <w:rFonts w:ascii="Aptos" w:eastAsia="Times New Roman" w:hAnsi="Aptos" w:cs="Times New Roman"/>
          <w:b/>
          <w:bCs/>
          <w:lang w:eastAsia="es-ES_tradnl"/>
        </w:rPr>
        <w:t>ordenarla y proyectarla</w:t>
      </w:r>
      <w:r w:rsidRPr="007F34DB">
        <w:rPr>
          <w:rFonts w:ascii="Aptos" w:eastAsia="Times New Roman" w:hAnsi="Aptos" w:cs="Times New Roman"/>
          <w:lang w:eastAsia="es-ES_tradnl"/>
        </w:rPr>
        <w:t>, para que siga siendo una oportunidad para el país.</w:t>
      </w:r>
    </w:p>
    <w:p w14:paraId="0234E24C" w14:textId="77777777" w:rsidR="00006DBE" w:rsidRPr="007F34DB" w:rsidRDefault="00006DBE" w:rsidP="000A159E">
      <w:pPr>
        <w:jc w:val="both"/>
        <w:rPr>
          <w:rFonts w:ascii="Aptos" w:hAnsi="Aptos"/>
        </w:rPr>
      </w:pPr>
    </w:p>
    <w:sectPr w:rsidR="00006DBE" w:rsidRPr="007F34D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DF3"/>
    <w:rsid w:val="00006DBE"/>
    <w:rsid w:val="000A159E"/>
    <w:rsid w:val="002B3BE3"/>
    <w:rsid w:val="00322DF3"/>
    <w:rsid w:val="0037702B"/>
    <w:rsid w:val="00773DCC"/>
    <w:rsid w:val="007B1F7B"/>
    <w:rsid w:val="007F34DB"/>
    <w:rsid w:val="008C4BC4"/>
    <w:rsid w:val="00B866BE"/>
    <w:rsid w:val="00C849A6"/>
    <w:rsid w:val="00EC3BFF"/>
    <w:rsid w:val="00EE708F"/>
    <w:rsid w:val="00F32DB3"/>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0B3B8"/>
  <w15:chartTrackingRefBased/>
  <w15:docId w15:val="{D9BFF679-1876-9A44-93B2-37EA87E70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C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322DF3"/>
    <w:pPr>
      <w:spacing w:before="100" w:beforeAutospacing="1" w:after="100" w:afterAutospacing="1"/>
      <w:outlineLvl w:val="0"/>
    </w:pPr>
    <w:rPr>
      <w:rFonts w:ascii="Times New Roman" w:eastAsia="Times New Roman" w:hAnsi="Times New Roman" w:cs="Times New Roman"/>
      <w:b/>
      <w:bCs/>
      <w:kern w:val="36"/>
      <w:sz w:val="48"/>
      <w:szCs w:val="48"/>
      <w:lang w:eastAsia="es-ES_tradnl"/>
    </w:rPr>
  </w:style>
  <w:style w:type="paragraph" w:styleId="Ttulo2">
    <w:name w:val="heading 2"/>
    <w:basedOn w:val="Normal"/>
    <w:link w:val="Ttulo2Car"/>
    <w:uiPriority w:val="9"/>
    <w:qFormat/>
    <w:rsid w:val="00322DF3"/>
    <w:pPr>
      <w:spacing w:before="100" w:beforeAutospacing="1" w:after="100" w:afterAutospacing="1"/>
      <w:outlineLvl w:val="1"/>
    </w:pPr>
    <w:rPr>
      <w:rFonts w:ascii="Times New Roman" w:eastAsia="Times New Roman" w:hAnsi="Times New Roman" w:cs="Times New Roman"/>
      <w:b/>
      <w:bCs/>
      <w:sz w:val="36"/>
      <w:szCs w:val="36"/>
      <w:lang w:eastAsia="es-ES_tradnl"/>
    </w:rPr>
  </w:style>
  <w:style w:type="paragraph" w:styleId="Ttulo3">
    <w:name w:val="heading 3"/>
    <w:basedOn w:val="Normal"/>
    <w:link w:val="Ttulo3Car"/>
    <w:uiPriority w:val="9"/>
    <w:qFormat/>
    <w:rsid w:val="00322DF3"/>
    <w:pPr>
      <w:spacing w:before="100" w:beforeAutospacing="1" w:after="100" w:afterAutospacing="1"/>
      <w:outlineLvl w:val="2"/>
    </w:pPr>
    <w:rPr>
      <w:rFonts w:ascii="Times New Roman" w:eastAsia="Times New Roman" w:hAnsi="Times New Roman" w:cs="Times New Roman"/>
      <w:b/>
      <w:bCs/>
      <w:sz w:val="27"/>
      <w:szCs w:val="27"/>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22DF3"/>
    <w:rPr>
      <w:rFonts w:ascii="Times New Roman" w:eastAsia="Times New Roman" w:hAnsi="Times New Roman" w:cs="Times New Roman"/>
      <w:b/>
      <w:bCs/>
      <w:kern w:val="36"/>
      <w:sz w:val="48"/>
      <w:szCs w:val="48"/>
      <w:lang w:eastAsia="es-ES_tradnl"/>
    </w:rPr>
  </w:style>
  <w:style w:type="character" w:customStyle="1" w:styleId="Ttulo2Car">
    <w:name w:val="Título 2 Car"/>
    <w:basedOn w:val="Fuentedeprrafopredeter"/>
    <w:link w:val="Ttulo2"/>
    <w:uiPriority w:val="9"/>
    <w:rsid w:val="00322DF3"/>
    <w:rPr>
      <w:rFonts w:ascii="Times New Roman" w:eastAsia="Times New Roman" w:hAnsi="Times New Roman" w:cs="Times New Roman"/>
      <w:b/>
      <w:bCs/>
      <w:sz w:val="36"/>
      <w:szCs w:val="36"/>
      <w:lang w:eastAsia="es-ES_tradnl"/>
    </w:rPr>
  </w:style>
  <w:style w:type="character" w:customStyle="1" w:styleId="Ttulo3Car">
    <w:name w:val="Título 3 Car"/>
    <w:basedOn w:val="Fuentedeprrafopredeter"/>
    <w:link w:val="Ttulo3"/>
    <w:uiPriority w:val="9"/>
    <w:rsid w:val="00322DF3"/>
    <w:rPr>
      <w:rFonts w:ascii="Times New Roman" w:eastAsia="Times New Roman" w:hAnsi="Times New Roman" w:cs="Times New Roman"/>
      <w:b/>
      <w:bCs/>
      <w:sz w:val="27"/>
      <w:szCs w:val="27"/>
      <w:lang w:eastAsia="es-ES_tradnl"/>
    </w:rPr>
  </w:style>
  <w:style w:type="character" w:styleId="Fuerte">
    <w:name w:val="Strong"/>
    <w:basedOn w:val="Fuentedeprrafopredeter"/>
    <w:uiPriority w:val="22"/>
    <w:qFormat/>
    <w:rsid w:val="00322DF3"/>
    <w:rPr>
      <w:b/>
      <w:bCs/>
    </w:rPr>
  </w:style>
  <w:style w:type="paragraph" w:styleId="NormalWeb">
    <w:name w:val="Normal (Web)"/>
    <w:basedOn w:val="Normal"/>
    <w:uiPriority w:val="99"/>
    <w:semiHidden/>
    <w:unhideWhenUsed/>
    <w:rsid w:val="00322DF3"/>
    <w:pPr>
      <w:spacing w:before="100" w:beforeAutospacing="1" w:after="100" w:afterAutospacing="1"/>
    </w:pPr>
    <w:rPr>
      <w:rFonts w:ascii="Times New Roman" w:eastAsia="Times New Roman" w:hAnsi="Times New Roman" w:cs="Times New Roman"/>
      <w:lang w:eastAsia="es-ES_tradnl"/>
    </w:rPr>
  </w:style>
  <w:style w:type="character" w:styleId="nfasis">
    <w:name w:val="Emphasis"/>
    <w:basedOn w:val="Fuentedeprrafopredeter"/>
    <w:uiPriority w:val="20"/>
    <w:qFormat/>
    <w:rsid w:val="00322DF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0166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1131</Words>
  <Characters>6223</Characters>
  <Application>Microsoft Office Word</Application>
  <DocSecurity>0</DocSecurity>
  <Lines>127</Lines>
  <Paragraphs>48</Paragraphs>
  <ScaleCrop>false</ScaleCrop>
  <Company/>
  <LinksUpToDate>false</LinksUpToDate>
  <CharactersWithSpaces>7306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Mauricio Utreras</dc:creator>
  <cp:keywords/>
  <dc:description/>
  <cp:lastModifiedBy>Lisa Sánchez Ruiz</cp:lastModifiedBy>
  <cp:revision>8</cp:revision>
  <dcterms:created xsi:type="dcterms:W3CDTF">2026-02-06T14:47:00Z</dcterms:created>
  <dcterms:modified xsi:type="dcterms:W3CDTF">2026-02-06T19:59:00Z</dcterms:modified>
</cp:coreProperties>
</file>