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C44AE" w14:textId="77777777" w:rsidR="00E40F82" w:rsidRPr="00E40F82" w:rsidRDefault="00E40F82" w:rsidP="00E40F82">
      <w:pPr>
        <w:spacing w:line="240" w:lineRule="auto"/>
        <w:jc w:val="center"/>
        <w:rPr>
          <w:rFonts w:ascii="Calibri" w:hAnsi="Calibri" w:cs="Calibri"/>
          <w:b/>
          <w:bCs/>
          <w:sz w:val="20"/>
          <w:szCs w:val="20"/>
        </w:rPr>
      </w:pPr>
      <w:r w:rsidRPr="00E40F82">
        <w:rPr>
          <w:rFonts w:ascii="Calibri" w:hAnsi="Calibri" w:cs="Calibri"/>
          <w:b/>
          <w:bCs/>
          <w:sz w:val="20"/>
          <w:szCs w:val="20"/>
        </w:rPr>
        <w:t>Desalación híbrida impulsa minería sostenible</w:t>
      </w:r>
    </w:p>
    <w:p w14:paraId="3BB3AAA4" w14:textId="2C1EB32A" w:rsidR="00E40F82" w:rsidRPr="00E40F82" w:rsidRDefault="00E40F82" w:rsidP="00E40F82">
      <w:pPr>
        <w:spacing w:line="240" w:lineRule="auto"/>
        <w:jc w:val="both"/>
        <w:rPr>
          <w:rFonts w:ascii="Calibri" w:hAnsi="Calibri" w:cs="Calibri"/>
          <w:b/>
          <w:bCs/>
          <w:sz w:val="20"/>
          <w:szCs w:val="20"/>
        </w:rPr>
      </w:pPr>
      <w:r w:rsidRPr="00E40F82">
        <w:rPr>
          <w:rFonts w:ascii="Calibri" w:hAnsi="Calibri" w:cs="Calibri"/>
          <w:b/>
          <w:bCs/>
          <w:i/>
          <w:iCs/>
          <w:sz w:val="20"/>
          <w:szCs w:val="20"/>
        </w:rPr>
        <w:t>La combinación de energía solar y undimotriz permite reducir costos, asegurar continuidad operacional y avanzar en la descarbonización del sector minero chileno, según el informe “Eficiencia Híbrida y Desacoplamiento Energético</w:t>
      </w:r>
      <w:r>
        <w:rPr>
          <w:rFonts w:ascii="Calibri" w:hAnsi="Calibri" w:cs="Calibri"/>
          <w:b/>
          <w:bCs/>
          <w:i/>
          <w:iCs/>
          <w:sz w:val="20"/>
          <w:szCs w:val="20"/>
        </w:rPr>
        <w:t>” de Oneka Technologies.</w:t>
      </w:r>
    </w:p>
    <w:p w14:paraId="781166D2" w14:textId="09B20793" w:rsidR="00E40F82" w:rsidRPr="00E40F82" w:rsidRDefault="00E40F82" w:rsidP="00E40F82">
      <w:pPr>
        <w:spacing w:line="240" w:lineRule="auto"/>
        <w:jc w:val="both"/>
        <w:rPr>
          <w:rFonts w:ascii="Calibri" w:hAnsi="Calibri" w:cs="Calibri"/>
          <w:sz w:val="20"/>
          <w:szCs w:val="20"/>
        </w:rPr>
      </w:pPr>
      <w:r w:rsidRPr="00E40F82">
        <w:rPr>
          <w:rFonts w:ascii="Calibri" w:hAnsi="Calibri" w:cs="Calibri"/>
          <w:sz w:val="20"/>
          <w:szCs w:val="20"/>
        </w:rPr>
        <w:t xml:space="preserve">Santiago, </w:t>
      </w:r>
      <w:proofErr w:type="gramStart"/>
      <w:r w:rsidRPr="00E40F82">
        <w:rPr>
          <w:rFonts w:ascii="Calibri" w:hAnsi="Calibri" w:cs="Calibri"/>
          <w:sz w:val="20"/>
          <w:szCs w:val="20"/>
        </w:rPr>
        <w:t>Chile.–</w:t>
      </w:r>
      <w:proofErr w:type="gramEnd"/>
      <w:r w:rsidRPr="00E40F82">
        <w:rPr>
          <w:rFonts w:ascii="Calibri" w:hAnsi="Calibri" w:cs="Calibri"/>
          <w:sz w:val="20"/>
          <w:szCs w:val="20"/>
        </w:rPr>
        <w:t xml:space="preserve"> En un escenario donde el consumo eléctrico de la minería del cobre podría aumentar un 20% al 2034, la combinación de energías renovables y nuevas tecnologías de desalación se posiciona como una solución estratégica para asegurar la sostenibilidad del sector. Así lo plantea el informe “Eficiencia Híbrida y Desacoplamiento Energético”, </w:t>
      </w:r>
      <w:r>
        <w:rPr>
          <w:rFonts w:ascii="Calibri" w:hAnsi="Calibri" w:cs="Calibri"/>
          <w:sz w:val="20"/>
          <w:szCs w:val="20"/>
        </w:rPr>
        <w:t xml:space="preserve">que analiza el reciente estudio de </w:t>
      </w:r>
      <w:proofErr w:type="spellStart"/>
      <w:r>
        <w:rPr>
          <w:rFonts w:ascii="Calibri" w:hAnsi="Calibri" w:cs="Calibri"/>
          <w:sz w:val="20"/>
          <w:szCs w:val="20"/>
        </w:rPr>
        <w:t>Cochilco</w:t>
      </w:r>
      <w:proofErr w:type="spellEnd"/>
      <w:r>
        <w:rPr>
          <w:rFonts w:ascii="Calibri" w:hAnsi="Calibri" w:cs="Calibri"/>
          <w:sz w:val="20"/>
          <w:szCs w:val="20"/>
        </w:rPr>
        <w:t xml:space="preserve"> </w:t>
      </w:r>
      <w:r w:rsidRPr="00E40F82">
        <w:rPr>
          <w:rFonts w:ascii="Calibri" w:hAnsi="Calibri" w:cs="Calibri"/>
          <w:sz w:val="20"/>
          <w:szCs w:val="20"/>
        </w:rPr>
        <w:t>“</w:t>
      </w:r>
      <w:r w:rsidRPr="00E40F82">
        <w:rPr>
          <w:rFonts w:ascii="Calibri" w:hAnsi="Calibri" w:cs="Calibri"/>
          <w:sz w:val="20"/>
          <w:szCs w:val="20"/>
        </w:rPr>
        <w:t>Proyección de Consumo de la Energía Eléctrica de la Minería del Cobre Chilena en el Contexto de la Transición Energética Período 2025-2034</w:t>
      </w:r>
      <w:r w:rsidRPr="00E40F82">
        <w:rPr>
          <w:rFonts w:ascii="Calibri" w:hAnsi="Calibri" w:cs="Calibri"/>
          <w:sz w:val="20"/>
          <w:szCs w:val="20"/>
        </w:rPr>
        <w:t>”</w:t>
      </w:r>
      <w:r>
        <w:rPr>
          <w:rFonts w:ascii="Calibri" w:hAnsi="Calibri" w:cs="Calibri"/>
          <w:sz w:val="20"/>
          <w:szCs w:val="20"/>
        </w:rPr>
        <w:t>.</w:t>
      </w:r>
      <w:r w:rsidRPr="00E40F82">
        <w:rPr>
          <w:rFonts w:ascii="Calibri" w:hAnsi="Calibri" w:cs="Calibri"/>
          <w:sz w:val="20"/>
          <w:szCs w:val="20"/>
        </w:rPr>
        <w:t xml:space="preserve"> </w:t>
      </w:r>
    </w:p>
    <w:p w14:paraId="59C2E614" w14:textId="7F81FFE9" w:rsidR="00E40F82" w:rsidRPr="00E40F82" w:rsidRDefault="00E40F82" w:rsidP="00E40F82">
      <w:pPr>
        <w:spacing w:line="240" w:lineRule="auto"/>
        <w:jc w:val="both"/>
        <w:rPr>
          <w:rFonts w:ascii="Calibri" w:hAnsi="Calibri" w:cs="Calibri"/>
          <w:sz w:val="20"/>
          <w:szCs w:val="20"/>
        </w:rPr>
      </w:pPr>
      <w:r>
        <w:rPr>
          <w:rFonts w:ascii="Calibri" w:hAnsi="Calibri" w:cs="Calibri"/>
          <w:sz w:val="20"/>
          <w:szCs w:val="20"/>
        </w:rPr>
        <w:t>La</w:t>
      </w:r>
      <w:r w:rsidRPr="00E40F82">
        <w:rPr>
          <w:rFonts w:ascii="Calibri" w:hAnsi="Calibri" w:cs="Calibri"/>
          <w:sz w:val="20"/>
          <w:szCs w:val="20"/>
        </w:rPr>
        <w:t xml:space="preserve"> creciente demanda de agua de mar —que implicará un consumo estimado de 5,4 TWh— exige soluciones que reduzcan la presión sobre la red eléctrica y mitiguen la volatilidad de los costos energéticos. En este contexto, la hibridación entre energía solar y undimotriz aparece como una alternativa eficiente y resiliente.</w:t>
      </w:r>
    </w:p>
    <w:p w14:paraId="2501744B" w14:textId="6CB47176" w:rsidR="00E40F82" w:rsidRPr="00E40F82" w:rsidRDefault="00E40F82" w:rsidP="00E40F82">
      <w:pPr>
        <w:spacing w:line="240" w:lineRule="auto"/>
        <w:jc w:val="both"/>
        <w:rPr>
          <w:rFonts w:ascii="Calibri" w:hAnsi="Calibri" w:cs="Calibri"/>
          <w:sz w:val="20"/>
          <w:szCs w:val="20"/>
        </w:rPr>
      </w:pPr>
      <w:r w:rsidRPr="00E40F82">
        <w:rPr>
          <w:rFonts w:ascii="Calibri" w:hAnsi="Calibri" w:cs="Calibri"/>
          <w:sz w:val="20"/>
          <w:szCs w:val="20"/>
        </w:rPr>
        <w:t xml:space="preserve">Carlos Fredes García, </w:t>
      </w:r>
      <w:r w:rsidRPr="00E40F82">
        <w:rPr>
          <w:rFonts w:ascii="Calibri" w:hAnsi="Calibri" w:cs="Calibri"/>
          <w:sz w:val="20"/>
          <w:szCs w:val="20"/>
        </w:rPr>
        <w:t xml:space="preserve">gerente de negocios </w:t>
      </w:r>
      <w:r w:rsidRPr="00E40F82">
        <w:rPr>
          <w:rFonts w:ascii="Calibri" w:hAnsi="Calibri" w:cs="Calibri"/>
          <w:sz w:val="20"/>
          <w:szCs w:val="20"/>
        </w:rPr>
        <w:t>de Oneka Technologies, destaca que “la desalación ya no debe entenderse como un proceso intensivo en energía. Hoy, gracias a tecnologías autónomas impulsadas por olas y complementadas con energía solar, es posible producir agua con un consumo energético significativamente menor y con emisiones prácticamente nulas”.</w:t>
      </w:r>
    </w:p>
    <w:p w14:paraId="43D731B8" w14:textId="1592CCE1" w:rsidR="00E40F82" w:rsidRPr="00E40F82" w:rsidRDefault="00E40F82" w:rsidP="00E40F82">
      <w:pPr>
        <w:spacing w:line="240" w:lineRule="auto"/>
        <w:jc w:val="both"/>
        <w:rPr>
          <w:rFonts w:ascii="Calibri" w:hAnsi="Calibri" w:cs="Calibri"/>
          <w:sz w:val="20"/>
          <w:szCs w:val="20"/>
        </w:rPr>
      </w:pPr>
      <w:r>
        <w:rPr>
          <w:rFonts w:ascii="Calibri" w:hAnsi="Calibri" w:cs="Calibri"/>
          <w:sz w:val="20"/>
          <w:szCs w:val="20"/>
        </w:rPr>
        <w:t>Este</w:t>
      </w:r>
      <w:r w:rsidRPr="00E40F82">
        <w:rPr>
          <w:rFonts w:ascii="Calibri" w:hAnsi="Calibri" w:cs="Calibri"/>
          <w:sz w:val="20"/>
          <w:szCs w:val="20"/>
        </w:rPr>
        <w:t xml:space="preserve"> enfoque permite avanzar hacia el desacoplamiento energético, al producir agua directamente en la costa sin depender del Sistema Eléctrico Nacional. Esto no solo estabiliza los costos operacionales (OPEX), sino que también fortalece la continuidad operacional ante eventuales fallas del sistema.</w:t>
      </w:r>
    </w:p>
    <w:p w14:paraId="319B3CD5" w14:textId="77777777" w:rsidR="00E40F82" w:rsidRPr="00E40F82" w:rsidRDefault="00E40F82" w:rsidP="00E40F82">
      <w:pPr>
        <w:spacing w:line="240" w:lineRule="auto"/>
        <w:jc w:val="both"/>
        <w:rPr>
          <w:rFonts w:ascii="Calibri" w:hAnsi="Calibri" w:cs="Calibri"/>
          <w:sz w:val="20"/>
          <w:szCs w:val="20"/>
        </w:rPr>
      </w:pPr>
      <w:r w:rsidRPr="00E40F82">
        <w:rPr>
          <w:rFonts w:ascii="Calibri" w:hAnsi="Calibri" w:cs="Calibri"/>
          <w:sz w:val="20"/>
          <w:szCs w:val="20"/>
        </w:rPr>
        <w:t xml:space="preserve">Además, </w:t>
      </w:r>
      <w:proofErr w:type="gramStart"/>
      <w:r w:rsidRPr="00E40F82">
        <w:rPr>
          <w:rFonts w:ascii="Calibri" w:hAnsi="Calibri" w:cs="Calibri"/>
          <w:sz w:val="20"/>
          <w:szCs w:val="20"/>
        </w:rPr>
        <w:t>la modularidad</w:t>
      </w:r>
      <w:proofErr w:type="gramEnd"/>
      <w:r w:rsidRPr="00E40F82">
        <w:rPr>
          <w:rFonts w:ascii="Calibri" w:hAnsi="Calibri" w:cs="Calibri"/>
          <w:sz w:val="20"/>
          <w:szCs w:val="20"/>
        </w:rPr>
        <w:t xml:space="preserve"> de estas soluciones facilita su implementación tanto en faenas mineras como en comunidades costeras, generando valor territorial mediante el acceso a agua para consumo humano y actividades productivas, con una baja huella ambiental.</w:t>
      </w:r>
    </w:p>
    <w:p w14:paraId="2B797AD1" w14:textId="77777777" w:rsidR="00E40F82" w:rsidRPr="00E40F82" w:rsidRDefault="00E40F82" w:rsidP="00E40F82">
      <w:pPr>
        <w:spacing w:line="240" w:lineRule="auto"/>
        <w:jc w:val="both"/>
        <w:rPr>
          <w:rFonts w:ascii="Calibri" w:hAnsi="Calibri" w:cs="Calibri"/>
          <w:sz w:val="20"/>
          <w:szCs w:val="20"/>
        </w:rPr>
      </w:pPr>
      <w:r w:rsidRPr="00E40F82">
        <w:rPr>
          <w:rFonts w:ascii="Calibri" w:hAnsi="Calibri" w:cs="Calibri"/>
          <w:sz w:val="20"/>
          <w:szCs w:val="20"/>
        </w:rPr>
        <w:t>“El desafío no es solo energético, sino también hídrico y territorial. La eficiencia híbrida permite abordar estos tres frentes de manera integrada, posicionando a Chile como líder en innovación en gestión del agua”, agrega Fredes.</w:t>
      </w:r>
    </w:p>
    <w:p w14:paraId="6E6969AE" w14:textId="77777777" w:rsidR="00E40F82" w:rsidRPr="00E40F82" w:rsidRDefault="00E40F82" w:rsidP="00E40F82">
      <w:pPr>
        <w:spacing w:line="240" w:lineRule="auto"/>
        <w:jc w:val="both"/>
        <w:rPr>
          <w:rFonts w:ascii="Calibri" w:hAnsi="Calibri" w:cs="Calibri"/>
          <w:sz w:val="20"/>
          <w:szCs w:val="20"/>
        </w:rPr>
      </w:pPr>
      <w:r w:rsidRPr="00E40F82">
        <w:rPr>
          <w:rFonts w:ascii="Calibri" w:hAnsi="Calibri" w:cs="Calibri"/>
          <w:sz w:val="20"/>
          <w:szCs w:val="20"/>
        </w:rPr>
        <w:t>El modelo de implementación propuesto, basado en esquemas Water-as-a-Service (WaaS), elimina las barreras de inversión inicial y promueve una adopción más rápida de estas tecnologías, alineando sostenibilidad ambiental con viabilidad económica.</w:t>
      </w:r>
    </w:p>
    <w:p w14:paraId="5D083C88" w14:textId="77777777" w:rsidR="00E40F82" w:rsidRPr="00E40F82" w:rsidRDefault="00E40F82" w:rsidP="00E40F82">
      <w:pPr>
        <w:spacing w:line="240" w:lineRule="auto"/>
        <w:jc w:val="both"/>
        <w:rPr>
          <w:rFonts w:ascii="Calibri" w:hAnsi="Calibri" w:cs="Calibri"/>
          <w:sz w:val="20"/>
          <w:szCs w:val="20"/>
        </w:rPr>
      </w:pPr>
      <w:r w:rsidRPr="00E40F82">
        <w:rPr>
          <w:rFonts w:ascii="Calibri" w:hAnsi="Calibri" w:cs="Calibri"/>
          <w:sz w:val="20"/>
          <w:szCs w:val="20"/>
        </w:rPr>
        <w:t>Con una extensa costa y alto potencial en energías renovables, Chile enfrenta una oportunidad estratégica para transformar su matriz hídrica y energética, avanzando hacia una minería más resiliente y sustentable.</w:t>
      </w:r>
    </w:p>
    <w:p w14:paraId="530DD8E1" w14:textId="77777777" w:rsidR="001B5483" w:rsidRPr="00E40F82" w:rsidRDefault="001B5483" w:rsidP="00E40F82">
      <w:pPr>
        <w:spacing w:line="240" w:lineRule="auto"/>
        <w:jc w:val="both"/>
        <w:rPr>
          <w:rFonts w:ascii="Calibri" w:hAnsi="Calibri" w:cs="Calibri"/>
          <w:sz w:val="20"/>
          <w:szCs w:val="20"/>
        </w:rPr>
      </w:pPr>
    </w:p>
    <w:sectPr w:rsidR="001B5483" w:rsidRPr="00E40F82">
      <w:headerReference w:type="default" r:id="rId6"/>
      <w:foot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5024A" w14:textId="77777777" w:rsidR="00651570" w:rsidRDefault="00651570" w:rsidP="00E40F82">
      <w:pPr>
        <w:spacing w:after="0" w:line="240" w:lineRule="auto"/>
      </w:pPr>
      <w:r>
        <w:separator/>
      </w:r>
    </w:p>
  </w:endnote>
  <w:endnote w:type="continuationSeparator" w:id="0">
    <w:p w14:paraId="355DFF1D" w14:textId="77777777" w:rsidR="00651570" w:rsidRDefault="00651570" w:rsidP="00E40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054F0" w14:textId="31222CD4" w:rsidR="00E40F82" w:rsidRDefault="00E40F82" w:rsidP="00E40F82">
    <w:pPr>
      <w:pStyle w:val="Piedepgina"/>
      <w:jc w:val="center"/>
    </w:pPr>
    <w:r>
      <w:rPr>
        <w:noProof/>
      </w:rPr>
      <w:drawing>
        <wp:inline distT="0" distB="0" distL="0" distR="0" wp14:anchorId="071E9C95" wp14:editId="3C69B242">
          <wp:extent cx="4617816" cy="504729"/>
          <wp:effectExtent l="0" t="0" r="0" b="0"/>
          <wp:docPr id="33502834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028340" name="Imagen 335028340"/>
                  <pic:cNvPicPr/>
                </pic:nvPicPr>
                <pic:blipFill>
                  <a:blip r:embed="rId1">
                    <a:extLst>
                      <a:ext uri="{28A0092B-C50C-407E-A947-70E740481C1C}">
                        <a14:useLocalDpi xmlns:a14="http://schemas.microsoft.com/office/drawing/2010/main" val="0"/>
                      </a:ext>
                    </a:extLst>
                  </a:blip>
                  <a:stretch>
                    <a:fillRect/>
                  </a:stretch>
                </pic:blipFill>
                <pic:spPr>
                  <a:xfrm>
                    <a:off x="0" y="0"/>
                    <a:ext cx="4685143" cy="51208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06FE1" w14:textId="77777777" w:rsidR="00651570" w:rsidRDefault="00651570" w:rsidP="00E40F82">
      <w:pPr>
        <w:spacing w:after="0" w:line="240" w:lineRule="auto"/>
      </w:pPr>
      <w:r>
        <w:separator/>
      </w:r>
    </w:p>
  </w:footnote>
  <w:footnote w:type="continuationSeparator" w:id="0">
    <w:p w14:paraId="3A6AF391" w14:textId="77777777" w:rsidR="00651570" w:rsidRDefault="00651570" w:rsidP="00E40F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71BD" w14:textId="064C1302" w:rsidR="00E40F82" w:rsidRDefault="00E40F82">
    <w:pPr>
      <w:pStyle w:val="Encabezado"/>
    </w:pPr>
    <w:r>
      <w:rPr>
        <w:noProof/>
      </w:rPr>
      <w:drawing>
        <wp:inline distT="0" distB="0" distL="0" distR="0" wp14:anchorId="7BE17989" wp14:editId="14006958">
          <wp:extent cx="2390775" cy="832361"/>
          <wp:effectExtent l="0" t="0" r="0" b="6350"/>
          <wp:docPr id="19582620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262005" name="Imagen 1958262005"/>
                  <pic:cNvPicPr/>
                </pic:nvPicPr>
                <pic:blipFill>
                  <a:blip r:embed="rId1">
                    <a:extLst>
                      <a:ext uri="{28A0092B-C50C-407E-A947-70E740481C1C}">
                        <a14:useLocalDpi xmlns:a14="http://schemas.microsoft.com/office/drawing/2010/main" val="0"/>
                      </a:ext>
                    </a:extLst>
                  </a:blip>
                  <a:stretch>
                    <a:fillRect/>
                  </a:stretch>
                </pic:blipFill>
                <pic:spPr>
                  <a:xfrm>
                    <a:off x="0" y="0"/>
                    <a:ext cx="2415897" cy="841107"/>
                  </a:xfrm>
                  <a:prstGeom prst="rect">
                    <a:avLst/>
                  </a:prstGeom>
                </pic:spPr>
              </pic:pic>
            </a:graphicData>
          </a:graphic>
        </wp:inline>
      </w:drawing>
    </w:r>
  </w:p>
  <w:p w14:paraId="0B05351F" w14:textId="77777777" w:rsidR="00E40F82" w:rsidRDefault="00E40F82">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F82"/>
    <w:rsid w:val="001B5483"/>
    <w:rsid w:val="001E5E11"/>
    <w:rsid w:val="004249DA"/>
    <w:rsid w:val="00651570"/>
    <w:rsid w:val="00C2620A"/>
    <w:rsid w:val="00E40F8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C9E2A"/>
  <w15:chartTrackingRefBased/>
  <w15:docId w15:val="{59E5B198-70AC-48BB-8F78-AF732379F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40F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40F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40F8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40F8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40F8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40F8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40F8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40F8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40F8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40F8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40F8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40F8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40F8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40F8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40F8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40F8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40F8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40F82"/>
    <w:rPr>
      <w:rFonts w:eastAsiaTheme="majorEastAsia" w:cstheme="majorBidi"/>
      <w:color w:val="272727" w:themeColor="text1" w:themeTint="D8"/>
    </w:rPr>
  </w:style>
  <w:style w:type="paragraph" w:styleId="Ttulo">
    <w:name w:val="Title"/>
    <w:basedOn w:val="Normal"/>
    <w:next w:val="Normal"/>
    <w:link w:val="TtuloCar"/>
    <w:uiPriority w:val="10"/>
    <w:qFormat/>
    <w:rsid w:val="00E40F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40F8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40F8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40F8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40F82"/>
    <w:pPr>
      <w:spacing w:before="160"/>
      <w:jc w:val="center"/>
    </w:pPr>
    <w:rPr>
      <w:i/>
      <w:iCs/>
      <w:color w:val="404040" w:themeColor="text1" w:themeTint="BF"/>
    </w:rPr>
  </w:style>
  <w:style w:type="character" w:customStyle="1" w:styleId="CitaCar">
    <w:name w:val="Cita Car"/>
    <w:basedOn w:val="Fuentedeprrafopredeter"/>
    <w:link w:val="Cita"/>
    <w:uiPriority w:val="29"/>
    <w:rsid w:val="00E40F82"/>
    <w:rPr>
      <w:i/>
      <w:iCs/>
      <w:color w:val="404040" w:themeColor="text1" w:themeTint="BF"/>
    </w:rPr>
  </w:style>
  <w:style w:type="paragraph" w:styleId="Prrafodelista">
    <w:name w:val="List Paragraph"/>
    <w:basedOn w:val="Normal"/>
    <w:uiPriority w:val="34"/>
    <w:qFormat/>
    <w:rsid w:val="00E40F82"/>
    <w:pPr>
      <w:ind w:left="720"/>
      <w:contextualSpacing/>
    </w:pPr>
  </w:style>
  <w:style w:type="character" w:styleId="nfasisintenso">
    <w:name w:val="Intense Emphasis"/>
    <w:basedOn w:val="Fuentedeprrafopredeter"/>
    <w:uiPriority w:val="21"/>
    <w:qFormat/>
    <w:rsid w:val="00E40F82"/>
    <w:rPr>
      <w:i/>
      <w:iCs/>
      <w:color w:val="0F4761" w:themeColor="accent1" w:themeShade="BF"/>
    </w:rPr>
  </w:style>
  <w:style w:type="paragraph" w:styleId="Citadestacada">
    <w:name w:val="Intense Quote"/>
    <w:basedOn w:val="Normal"/>
    <w:next w:val="Normal"/>
    <w:link w:val="CitadestacadaCar"/>
    <w:uiPriority w:val="30"/>
    <w:qFormat/>
    <w:rsid w:val="00E40F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40F82"/>
    <w:rPr>
      <w:i/>
      <w:iCs/>
      <w:color w:val="0F4761" w:themeColor="accent1" w:themeShade="BF"/>
    </w:rPr>
  </w:style>
  <w:style w:type="character" w:styleId="Referenciaintensa">
    <w:name w:val="Intense Reference"/>
    <w:basedOn w:val="Fuentedeprrafopredeter"/>
    <w:uiPriority w:val="32"/>
    <w:qFormat/>
    <w:rsid w:val="00E40F82"/>
    <w:rPr>
      <w:b/>
      <w:bCs/>
      <w:smallCaps/>
      <w:color w:val="0F4761" w:themeColor="accent1" w:themeShade="BF"/>
      <w:spacing w:val="5"/>
    </w:rPr>
  </w:style>
  <w:style w:type="character" w:styleId="Hipervnculo">
    <w:name w:val="Hyperlink"/>
    <w:basedOn w:val="Fuentedeprrafopredeter"/>
    <w:uiPriority w:val="99"/>
    <w:unhideWhenUsed/>
    <w:rsid w:val="00E40F82"/>
    <w:rPr>
      <w:color w:val="467886" w:themeColor="hyperlink"/>
      <w:u w:val="single"/>
    </w:rPr>
  </w:style>
  <w:style w:type="character" w:styleId="Mencinsinresolver">
    <w:name w:val="Unresolved Mention"/>
    <w:basedOn w:val="Fuentedeprrafopredeter"/>
    <w:uiPriority w:val="99"/>
    <w:semiHidden/>
    <w:unhideWhenUsed/>
    <w:rsid w:val="00E40F82"/>
    <w:rPr>
      <w:color w:val="605E5C"/>
      <w:shd w:val="clear" w:color="auto" w:fill="E1DFDD"/>
    </w:rPr>
  </w:style>
  <w:style w:type="paragraph" w:styleId="Encabezado">
    <w:name w:val="header"/>
    <w:basedOn w:val="Normal"/>
    <w:link w:val="EncabezadoCar"/>
    <w:uiPriority w:val="99"/>
    <w:unhideWhenUsed/>
    <w:rsid w:val="00E40F8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40F82"/>
  </w:style>
  <w:style w:type="paragraph" w:styleId="Piedepgina">
    <w:name w:val="footer"/>
    <w:basedOn w:val="Normal"/>
    <w:link w:val="PiedepginaCar"/>
    <w:uiPriority w:val="99"/>
    <w:unhideWhenUsed/>
    <w:rsid w:val="00E40F8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40F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425</Words>
  <Characters>2339</Characters>
  <Application>Microsoft Office Word</Application>
  <DocSecurity>0</DocSecurity>
  <Lines>19</Lines>
  <Paragraphs>5</Paragraphs>
  <ScaleCrop>false</ScaleCrop>
  <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Rubilar Camurri</dc:creator>
  <cp:keywords/>
  <dc:description/>
  <cp:lastModifiedBy>Carlos Rubilar Camurri</cp:lastModifiedBy>
  <cp:revision>1</cp:revision>
  <dcterms:created xsi:type="dcterms:W3CDTF">2026-04-20T23:14:00Z</dcterms:created>
  <dcterms:modified xsi:type="dcterms:W3CDTF">2026-04-20T23:19:00Z</dcterms:modified>
</cp:coreProperties>
</file>