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A7B14A" w14:textId="3019C9CF" w:rsidR="00600A96" w:rsidRPr="001B5F0E" w:rsidRDefault="00600A96" w:rsidP="00600A96">
      <w:pPr>
        <w:spacing w:line="240" w:lineRule="auto"/>
        <w:jc w:val="center"/>
        <w:rPr>
          <w:rFonts w:ascii="Calibri" w:hAnsi="Calibri" w:cs="Calibri"/>
          <w:b/>
          <w:bCs/>
          <w:sz w:val="20"/>
          <w:szCs w:val="20"/>
        </w:rPr>
      </w:pPr>
      <w:r w:rsidRPr="001B5F0E">
        <w:rPr>
          <w:rFonts w:ascii="Calibri" w:hAnsi="Calibri" w:cs="Calibri"/>
          <w:b/>
          <w:bCs/>
          <w:sz w:val="20"/>
          <w:szCs w:val="20"/>
        </w:rPr>
        <w:t>Eficiencia Híbrida y Desacoplamiento Energético</w:t>
      </w:r>
    </w:p>
    <w:p w14:paraId="419C86BA" w14:textId="582F92A5" w:rsidR="00600A96" w:rsidRPr="001B5F0E" w:rsidRDefault="00600A96" w:rsidP="00600A96">
      <w:pPr>
        <w:spacing w:after="0" w:line="240" w:lineRule="auto"/>
        <w:jc w:val="center"/>
        <w:rPr>
          <w:rFonts w:ascii="Calibri" w:hAnsi="Calibri" w:cs="Calibri"/>
          <w:b/>
          <w:bCs/>
          <w:sz w:val="20"/>
          <w:szCs w:val="20"/>
        </w:rPr>
      </w:pPr>
      <w:hyperlink r:id="rId7" w:history="1">
        <w:r w:rsidRPr="001B5F0E">
          <w:rPr>
            <w:rStyle w:val="Hipervnculo"/>
            <w:rFonts w:ascii="Calibri" w:hAnsi="Calibri" w:cs="Calibri"/>
            <w:b/>
            <w:bCs/>
            <w:sz w:val="20"/>
            <w:szCs w:val="20"/>
          </w:rPr>
          <w:t>Proyección de Consumo de la Energía Eléctrica de la Minería del Cobre Chilena en el Contexto de la Transición Energética Período 2025-2034</w:t>
        </w:r>
      </w:hyperlink>
      <w:r w:rsidRPr="001B5F0E">
        <w:rPr>
          <w:rFonts w:ascii="Calibri" w:hAnsi="Calibri" w:cs="Calibri"/>
          <w:b/>
          <w:bCs/>
          <w:sz w:val="20"/>
          <w:szCs w:val="20"/>
        </w:rPr>
        <w:t xml:space="preserve"> </w:t>
      </w:r>
    </w:p>
    <w:p w14:paraId="58C8CABA" w14:textId="122B0D91" w:rsidR="00600A96" w:rsidRPr="001B5F0E" w:rsidRDefault="00600A96" w:rsidP="00600A96">
      <w:pPr>
        <w:spacing w:line="240" w:lineRule="auto"/>
        <w:jc w:val="center"/>
        <w:rPr>
          <w:rFonts w:ascii="Calibri" w:hAnsi="Calibri" w:cs="Calibri"/>
          <w:b/>
          <w:bCs/>
          <w:sz w:val="20"/>
          <w:szCs w:val="20"/>
        </w:rPr>
      </w:pPr>
      <w:r w:rsidRPr="001B5F0E">
        <w:rPr>
          <w:rFonts w:ascii="Calibri" w:hAnsi="Calibri" w:cs="Calibri"/>
          <w:b/>
          <w:bCs/>
          <w:sz w:val="20"/>
          <w:szCs w:val="20"/>
        </w:rPr>
        <w:t>(</w:t>
      </w:r>
      <w:proofErr w:type="spellStart"/>
      <w:r w:rsidRPr="001B5F0E">
        <w:rPr>
          <w:rFonts w:ascii="Calibri" w:hAnsi="Calibri" w:cs="Calibri"/>
          <w:b/>
          <w:bCs/>
          <w:sz w:val="20"/>
          <w:szCs w:val="20"/>
        </w:rPr>
        <w:t>Cochilco</w:t>
      </w:r>
      <w:proofErr w:type="spellEnd"/>
      <w:r w:rsidRPr="001B5F0E">
        <w:rPr>
          <w:rFonts w:ascii="Calibri" w:hAnsi="Calibri" w:cs="Calibri"/>
          <w:b/>
          <w:bCs/>
          <w:sz w:val="20"/>
          <w:szCs w:val="20"/>
        </w:rPr>
        <w:t>, marzo 2026)</w:t>
      </w:r>
    </w:p>
    <w:p w14:paraId="2733B1EE" w14:textId="77777777" w:rsidR="00AD76C4" w:rsidRPr="00AD76C4" w:rsidRDefault="00AD76C4" w:rsidP="00FB0445">
      <w:pPr>
        <w:spacing w:before="240" w:after="0" w:line="240" w:lineRule="auto"/>
        <w:jc w:val="both"/>
        <w:rPr>
          <w:rFonts w:ascii="Calibri" w:hAnsi="Calibri" w:cs="Calibri"/>
          <w:b/>
          <w:bCs/>
          <w:sz w:val="20"/>
          <w:szCs w:val="20"/>
        </w:rPr>
      </w:pPr>
      <w:r w:rsidRPr="00AD76C4">
        <w:rPr>
          <w:rFonts w:ascii="Calibri" w:hAnsi="Calibri" w:cs="Calibri"/>
          <w:b/>
          <w:bCs/>
          <w:sz w:val="20"/>
          <w:szCs w:val="20"/>
        </w:rPr>
        <w:t>1. Contexto Sectorial y Desafío Eléctrico</w:t>
      </w:r>
    </w:p>
    <w:p w14:paraId="26CDC0FF" w14:textId="77777777" w:rsidR="0009425B" w:rsidRPr="0009425B" w:rsidRDefault="00600A96" w:rsidP="0009425B">
      <w:pPr>
        <w:spacing w:line="240" w:lineRule="auto"/>
        <w:jc w:val="both"/>
        <w:rPr>
          <w:rFonts w:ascii="Calibri" w:hAnsi="Calibri" w:cs="Calibri"/>
          <w:sz w:val="20"/>
          <w:szCs w:val="20"/>
        </w:rPr>
      </w:pPr>
      <w:r w:rsidRPr="001B5F0E">
        <w:rPr>
          <w:rFonts w:ascii="Calibri" w:hAnsi="Calibri" w:cs="Calibri"/>
          <w:sz w:val="20"/>
          <w:szCs w:val="20"/>
        </w:rPr>
        <w:t xml:space="preserve">El </w:t>
      </w:r>
      <w:hyperlink r:id="rId8" w:history="1">
        <w:r w:rsidRPr="001B5F0E">
          <w:rPr>
            <w:rStyle w:val="Hipervnculo"/>
            <w:rFonts w:ascii="Calibri" w:hAnsi="Calibri" w:cs="Calibri"/>
            <w:b/>
            <w:bCs/>
            <w:sz w:val="20"/>
            <w:szCs w:val="20"/>
          </w:rPr>
          <w:t>informe</w:t>
        </w:r>
      </w:hyperlink>
      <w:r w:rsidRPr="001B5F0E">
        <w:rPr>
          <w:rFonts w:ascii="Calibri" w:hAnsi="Calibri" w:cs="Calibri"/>
          <w:sz w:val="20"/>
          <w:szCs w:val="20"/>
        </w:rPr>
        <w:t xml:space="preserve"> de </w:t>
      </w:r>
      <w:proofErr w:type="spellStart"/>
      <w:r w:rsidRPr="001B5F0E">
        <w:rPr>
          <w:rFonts w:ascii="Calibri" w:hAnsi="Calibri" w:cs="Calibri"/>
          <w:sz w:val="20"/>
          <w:szCs w:val="20"/>
        </w:rPr>
        <w:t>Cochilco</w:t>
      </w:r>
      <w:proofErr w:type="spellEnd"/>
      <w:r w:rsidRPr="001B5F0E">
        <w:rPr>
          <w:rFonts w:ascii="Calibri" w:hAnsi="Calibri" w:cs="Calibri"/>
          <w:sz w:val="20"/>
          <w:szCs w:val="20"/>
        </w:rPr>
        <w:t xml:space="preserve"> </w:t>
      </w:r>
      <w:bookmarkStart w:id="0" w:name="_7cgrzo4curjn" w:colFirst="0" w:colLast="0"/>
      <w:bookmarkEnd w:id="0"/>
      <w:r w:rsidR="0009425B" w:rsidRPr="0009425B">
        <w:rPr>
          <w:rFonts w:ascii="Calibri" w:hAnsi="Calibri" w:cs="Calibri"/>
          <w:b/>
          <w:bCs/>
          <w:sz w:val="20"/>
          <w:szCs w:val="20"/>
        </w:rPr>
        <w:t>(marzo 2026)</w:t>
      </w:r>
      <w:r w:rsidR="0009425B" w:rsidRPr="0009425B">
        <w:rPr>
          <w:rFonts w:ascii="Calibri" w:hAnsi="Calibri" w:cs="Calibri"/>
          <w:sz w:val="20"/>
          <w:szCs w:val="20"/>
        </w:rPr>
        <w:t xml:space="preserve"> proyecta que el consumo eléctrico de la minería del cobre en Chile aumentará un 20% para 2034, alcanzando los </w:t>
      </w:r>
      <w:r w:rsidR="0009425B" w:rsidRPr="0009425B">
        <w:rPr>
          <w:rFonts w:ascii="Calibri" w:hAnsi="Calibri" w:cs="Calibri"/>
          <w:b/>
          <w:bCs/>
          <w:sz w:val="20"/>
          <w:szCs w:val="20"/>
        </w:rPr>
        <w:t>33,2 TWh</w:t>
      </w:r>
      <w:r w:rsidR="0009425B" w:rsidRPr="0009425B">
        <w:rPr>
          <w:rFonts w:ascii="Calibri" w:hAnsi="Calibri" w:cs="Calibri"/>
          <w:sz w:val="20"/>
          <w:szCs w:val="20"/>
        </w:rPr>
        <w:t xml:space="preserve">. En este escenario, la desalinización y la impulsión de agua de mar demandarán </w:t>
      </w:r>
      <w:r w:rsidR="0009425B" w:rsidRPr="0009425B">
        <w:rPr>
          <w:rFonts w:ascii="Calibri" w:hAnsi="Calibri" w:cs="Calibri"/>
          <w:b/>
          <w:bCs/>
          <w:sz w:val="20"/>
          <w:szCs w:val="20"/>
        </w:rPr>
        <w:t>5,4 TWh</w:t>
      </w:r>
      <w:r w:rsidR="0009425B" w:rsidRPr="0009425B">
        <w:rPr>
          <w:rFonts w:ascii="Calibri" w:hAnsi="Calibri" w:cs="Calibri"/>
          <w:sz w:val="20"/>
          <w:szCs w:val="20"/>
        </w:rPr>
        <w:t xml:space="preserve"> en el mismo periodo. Ante este desafío, la integración de fuentes renovables no convencionales se vuelve imperativa para garantizar la autonomía y sostenibilidad del sector.</w:t>
      </w:r>
    </w:p>
    <w:p w14:paraId="798AEE6E" w14:textId="3E71CC35" w:rsidR="009B4B0E" w:rsidRPr="009B4B0E" w:rsidRDefault="009B4B0E" w:rsidP="0009425B">
      <w:pPr>
        <w:spacing w:line="240" w:lineRule="auto"/>
        <w:jc w:val="both"/>
        <w:rPr>
          <w:rFonts w:ascii="Calibri" w:hAnsi="Calibri" w:cs="Calibri"/>
          <w:b/>
          <w:bCs/>
          <w:sz w:val="20"/>
          <w:szCs w:val="20"/>
        </w:rPr>
      </w:pPr>
      <w:r w:rsidRPr="009B4B0E">
        <w:rPr>
          <w:rFonts w:ascii="Calibri" w:hAnsi="Calibri" w:cs="Calibri"/>
          <w:b/>
          <w:bCs/>
          <w:sz w:val="20"/>
          <w:szCs w:val="20"/>
        </w:rPr>
        <w:t>2. Integración Complementaria: La Estrategia de "Agua de Base"</w:t>
      </w:r>
    </w:p>
    <w:p w14:paraId="10435393" w14:textId="4FA20BB1" w:rsidR="00BD4748" w:rsidRPr="00BD4748" w:rsidRDefault="00BD4748" w:rsidP="00BD4748">
      <w:pPr>
        <w:spacing w:line="240" w:lineRule="auto"/>
        <w:jc w:val="both"/>
        <w:rPr>
          <w:rFonts w:ascii="Calibri" w:hAnsi="Calibri" w:cs="Calibri"/>
          <w:sz w:val="20"/>
          <w:szCs w:val="20"/>
        </w:rPr>
      </w:pPr>
      <w:r w:rsidRPr="00BD4748">
        <w:rPr>
          <w:rFonts w:ascii="Calibri" w:hAnsi="Calibri" w:cs="Calibri"/>
          <w:sz w:val="20"/>
          <w:szCs w:val="20"/>
        </w:rPr>
        <w:t xml:space="preserve">La tecnología de desalinización de </w:t>
      </w:r>
      <w:r w:rsidRPr="00BD4748">
        <w:rPr>
          <w:rFonts w:ascii="Calibri" w:hAnsi="Calibri" w:cs="Calibri"/>
          <w:b/>
          <w:bCs/>
          <w:sz w:val="20"/>
          <w:szCs w:val="20"/>
        </w:rPr>
        <w:t>Oneka Technologies</w:t>
      </w:r>
      <w:r w:rsidRPr="00BD4748">
        <w:rPr>
          <w:rFonts w:ascii="Calibri" w:hAnsi="Calibri" w:cs="Calibri"/>
          <w:sz w:val="20"/>
          <w:szCs w:val="20"/>
        </w:rPr>
        <w:t xml:space="preserve">, que utiliza boyas autónomas accionadas por la energía de las </w:t>
      </w:r>
      <w:r w:rsidR="000B5534" w:rsidRPr="00BD4748">
        <w:rPr>
          <w:rFonts w:ascii="Calibri" w:hAnsi="Calibri" w:cs="Calibri"/>
          <w:sz w:val="20"/>
          <w:szCs w:val="20"/>
        </w:rPr>
        <w:t>olas,</w:t>
      </w:r>
      <w:r w:rsidRPr="00BD4748">
        <w:rPr>
          <w:rFonts w:ascii="Calibri" w:hAnsi="Calibri" w:cs="Calibri"/>
          <w:sz w:val="20"/>
          <w:szCs w:val="20"/>
        </w:rPr>
        <w:t xml:space="preserve"> no debe entenderse como un reemplazo de las grandes plantas, sino como una herramienta de optimización modular.</w:t>
      </w:r>
    </w:p>
    <w:p w14:paraId="01E9DB37" w14:textId="77777777" w:rsidR="00BD4748" w:rsidRPr="00BD4748" w:rsidRDefault="00BD4748" w:rsidP="00BD4748">
      <w:pPr>
        <w:spacing w:line="240" w:lineRule="auto"/>
        <w:jc w:val="both"/>
        <w:rPr>
          <w:rFonts w:ascii="Calibri" w:hAnsi="Calibri" w:cs="Calibri"/>
          <w:sz w:val="20"/>
          <w:szCs w:val="20"/>
        </w:rPr>
      </w:pPr>
      <w:r w:rsidRPr="00BD4748">
        <w:rPr>
          <w:rFonts w:ascii="Calibri" w:hAnsi="Calibri" w:cs="Calibri"/>
          <w:sz w:val="20"/>
          <w:szCs w:val="20"/>
        </w:rPr>
        <w:t xml:space="preserve">El valor estratégico de esta propuesta se potencia mediante la </w:t>
      </w:r>
      <w:r w:rsidRPr="00BD4748">
        <w:rPr>
          <w:rFonts w:ascii="Calibri" w:hAnsi="Calibri" w:cs="Calibri"/>
          <w:b/>
          <w:bCs/>
          <w:sz w:val="20"/>
          <w:szCs w:val="20"/>
        </w:rPr>
        <w:t>hibridación energética</w:t>
      </w:r>
      <w:r w:rsidRPr="00BD4748">
        <w:rPr>
          <w:rFonts w:ascii="Calibri" w:hAnsi="Calibri" w:cs="Calibri"/>
          <w:sz w:val="20"/>
          <w:szCs w:val="20"/>
        </w:rPr>
        <w:t>:</w:t>
      </w:r>
    </w:p>
    <w:p w14:paraId="038B71ED" w14:textId="77777777" w:rsidR="00BD4748" w:rsidRPr="00BD4748" w:rsidRDefault="00BD4748" w:rsidP="00BD4748">
      <w:pPr>
        <w:numPr>
          <w:ilvl w:val="0"/>
          <w:numId w:val="11"/>
        </w:numPr>
        <w:spacing w:line="240" w:lineRule="auto"/>
        <w:jc w:val="both"/>
        <w:rPr>
          <w:rFonts w:ascii="Calibri" w:hAnsi="Calibri" w:cs="Calibri"/>
          <w:sz w:val="20"/>
          <w:szCs w:val="20"/>
        </w:rPr>
      </w:pPr>
      <w:r w:rsidRPr="00BD4748">
        <w:rPr>
          <w:rFonts w:ascii="Calibri" w:hAnsi="Calibri" w:cs="Calibri"/>
          <w:b/>
          <w:bCs/>
          <w:sz w:val="20"/>
          <w:szCs w:val="20"/>
        </w:rPr>
        <w:t>Sistemas Híbridos Solar-Undimotriz</w:t>
      </w:r>
      <w:r w:rsidRPr="00BD4748">
        <w:rPr>
          <w:rFonts w:ascii="Calibri" w:hAnsi="Calibri" w:cs="Calibri"/>
          <w:sz w:val="20"/>
          <w:szCs w:val="20"/>
        </w:rPr>
        <w:t>: Las soluciones de desalación pueden integrar paneles solares para operar de forma independiente o en configuraciones combinadas.</w:t>
      </w:r>
    </w:p>
    <w:p w14:paraId="179E3345" w14:textId="77777777" w:rsidR="00BD4748" w:rsidRPr="00BD4748" w:rsidRDefault="00BD4748" w:rsidP="00BD4748">
      <w:pPr>
        <w:numPr>
          <w:ilvl w:val="0"/>
          <w:numId w:val="11"/>
        </w:numPr>
        <w:spacing w:line="240" w:lineRule="auto"/>
        <w:jc w:val="both"/>
        <w:rPr>
          <w:rFonts w:ascii="Calibri" w:hAnsi="Calibri" w:cs="Calibri"/>
          <w:sz w:val="20"/>
          <w:szCs w:val="20"/>
        </w:rPr>
      </w:pPr>
      <w:r w:rsidRPr="00BD4748">
        <w:rPr>
          <w:rFonts w:ascii="Calibri" w:hAnsi="Calibri" w:cs="Calibri"/>
          <w:b/>
          <w:bCs/>
          <w:sz w:val="20"/>
          <w:szCs w:val="20"/>
        </w:rPr>
        <w:t>Continuidad Operacional</w:t>
      </w:r>
      <w:r w:rsidRPr="00BD4748">
        <w:rPr>
          <w:rFonts w:ascii="Calibri" w:hAnsi="Calibri" w:cs="Calibri"/>
          <w:sz w:val="20"/>
          <w:szCs w:val="20"/>
        </w:rPr>
        <w:t>: Esta mezcla de fuentes asegura el suministro constante y optimiza el uso de energía sin la necesidad de sistemas de almacenamiento complejos.</w:t>
      </w:r>
    </w:p>
    <w:p w14:paraId="2B21A1F2" w14:textId="77777777" w:rsidR="00BD4748" w:rsidRPr="00BD4748" w:rsidRDefault="00BD4748" w:rsidP="00BD4748">
      <w:pPr>
        <w:numPr>
          <w:ilvl w:val="0"/>
          <w:numId w:val="11"/>
        </w:numPr>
        <w:spacing w:line="240" w:lineRule="auto"/>
        <w:jc w:val="both"/>
        <w:rPr>
          <w:rFonts w:ascii="Calibri" w:hAnsi="Calibri" w:cs="Calibri"/>
          <w:sz w:val="20"/>
          <w:szCs w:val="20"/>
        </w:rPr>
      </w:pPr>
      <w:r w:rsidRPr="00BD4748">
        <w:rPr>
          <w:rFonts w:ascii="Calibri" w:hAnsi="Calibri" w:cs="Calibri"/>
          <w:b/>
          <w:bCs/>
          <w:sz w:val="20"/>
          <w:szCs w:val="20"/>
        </w:rPr>
        <w:t>Liberación de la Red</w:t>
      </w:r>
      <w:r w:rsidRPr="00BD4748">
        <w:rPr>
          <w:rFonts w:ascii="Calibri" w:hAnsi="Calibri" w:cs="Calibri"/>
          <w:sz w:val="20"/>
          <w:szCs w:val="20"/>
        </w:rPr>
        <w:t>: Al cubrir servicios auxiliares (campamentos y riego de caminos) con sistemas solares y undimotriz de bajo costo operativo (OPEX), se libera la infraestructura principal para procesos críticos como la planta concentradora.</w:t>
      </w:r>
    </w:p>
    <w:p w14:paraId="444E7ADF" w14:textId="35835509" w:rsidR="00BD4748" w:rsidRPr="00BD4748" w:rsidRDefault="00BD4748" w:rsidP="00BD4748">
      <w:pPr>
        <w:spacing w:line="240" w:lineRule="auto"/>
        <w:jc w:val="both"/>
        <w:rPr>
          <w:rFonts w:ascii="Calibri" w:hAnsi="Calibri" w:cs="Calibri"/>
          <w:b/>
          <w:bCs/>
          <w:sz w:val="20"/>
          <w:szCs w:val="20"/>
        </w:rPr>
      </w:pPr>
      <w:r>
        <w:rPr>
          <w:rFonts w:ascii="Calibri" w:hAnsi="Calibri" w:cs="Calibri"/>
          <w:b/>
          <w:bCs/>
          <w:sz w:val="20"/>
          <w:szCs w:val="20"/>
        </w:rPr>
        <w:t>3</w:t>
      </w:r>
      <w:r w:rsidRPr="00BD4748">
        <w:rPr>
          <w:rFonts w:ascii="Calibri" w:hAnsi="Calibri" w:cs="Calibri"/>
          <w:b/>
          <w:bCs/>
          <w:sz w:val="20"/>
          <w:szCs w:val="20"/>
        </w:rPr>
        <w:t>. Desacoplamiento Energético y Estabilidad de OPEX</w:t>
      </w:r>
    </w:p>
    <w:p w14:paraId="11CC96D1" w14:textId="77777777" w:rsidR="00BD4748" w:rsidRPr="00BD4748" w:rsidRDefault="00BD4748" w:rsidP="00BD4748">
      <w:pPr>
        <w:spacing w:line="240" w:lineRule="auto"/>
        <w:jc w:val="both"/>
        <w:rPr>
          <w:rFonts w:ascii="Calibri" w:hAnsi="Calibri" w:cs="Calibri"/>
          <w:sz w:val="20"/>
          <w:szCs w:val="20"/>
        </w:rPr>
      </w:pPr>
      <w:r w:rsidRPr="00BD4748">
        <w:rPr>
          <w:rFonts w:ascii="Calibri" w:hAnsi="Calibri" w:cs="Calibri"/>
          <w:sz w:val="20"/>
          <w:szCs w:val="20"/>
        </w:rPr>
        <w:t xml:space="preserve">La mayor ventaja de este enfoque radica en el "punto cero" de la cadena hídrica: la desalinización en el litoral con </w:t>
      </w:r>
      <w:r w:rsidRPr="00BD4748">
        <w:rPr>
          <w:rFonts w:ascii="Calibri" w:hAnsi="Calibri" w:cs="Calibri"/>
          <w:b/>
          <w:bCs/>
          <w:sz w:val="20"/>
          <w:szCs w:val="20"/>
        </w:rPr>
        <w:t>cero emisiones</w:t>
      </w:r>
      <w:r w:rsidRPr="00BD4748">
        <w:rPr>
          <w:rFonts w:ascii="Calibri" w:hAnsi="Calibri" w:cs="Calibri"/>
          <w:sz w:val="20"/>
          <w:szCs w:val="20"/>
        </w:rPr>
        <w:t>.</w:t>
      </w:r>
    </w:p>
    <w:p w14:paraId="70C28AF7" w14:textId="77777777" w:rsidR="00BD4748" w:rsidRPr="00BD4748" w:rsidRDefault="00BD4748" w:rsidP="00BD4748">
      <w:pPr>
        <w:numPr>
          <w:ilvl w:val="0"/>
          <w:numId w:val="12"/>
        </w:numPr>
        <w:spacing w:line="240" w:lineRule="auto"/>
        <w:jc w:val="both"/>
        <w:rPr>
          <w:rFonts w:ascii="Calibri" w:hAnsi="Calibri" w:cs="Calibri"/>
          <w:sz w:val="20"/>
          <w:szCs w:val="20"/>
        </w:rPr>
      </w:pPr>
      <w:r w:rsidRPr="00BD4748">
        <w:rPr>
          <w:rFonts w:ascii="Calibri" w:hAnsi="Calibri" w:cs="Calibri"/>
          <w:b/>
          <w:bCs/>
          <w:sz w:val="20"/>
          <w:szCs w:val="20"/>
        </w:rPr>
        <w:t>Eficiencia Energética</w:t>
      </w:r>
      <w:r w:rsidRPr="00BD4748">
        <w:rPr>
          <w:rFonts w:ascii="Calibri" w:hAnsi="Calibri" w:cs="Calibri"/>
          <w:sz w:val="20"/>
          <w:szCs w:val="20"/>
        </w:rPr>
        <w:t xml:space="preserve">: Mientras que la desalinización convencional históricamente consumía 55 kWh/m³, las tecnologías modernas y autónomas han permitido reducir este consumo a menos de </w:t>
      </w:r>
      <w:r w:rsidRPr="00BD4748">
        <w:rPr>
          <w:rFonts w:ascii="Calibri" w:hAnsi="Calibri" w:cs="Calibri"/>
          <w:b/>
          <w:bCs/>
          <w:sz w:val="20"/>
          <w:szCs w:val="20"/>
        </w:rPr>
        <w:t>3 kWh/m³</w:t>
      </w:r>
      <w:r w:rsidRPr="00BD4748">
        <w:rPr>
          <w:rFonts w:ascii="Calibri" w:hAnsi="Calibri" w:cs="Calibri"/>
          <w:sz w:val="20"/>
          <w:szCs w:val="20"/>
        </w:rPr>
        <w:t>.</w:t>
      </w:r>
    </w:p>
    <w:p w14:paraId="725A2B06" w14:textId="77777777" w:rsidR="00BD4748" w:rsidRPr="00BD4748" w:rsidRDefault="00BD4748" w:rsidP="00BD4748">
      <w:pPr>
        <w:numPr>
          <w:ilvl w:val="0"/>
          <w:numId w:val="12"/>
        </w:numPr>
        <w:spacing w:line="240" w:lineRule="auto"/>
        <w:jc w:val="both"/>
        <w:rPr>
          <w:rFonts w:ascii="Calibri" w:hAnsi="Calibri" w:cs="Calibri"/>
          <w:sz w:val="20"/>
          <w:szCs w:val="20"/>
        </w:rPr>
      </w:pPr>
      <w:r w:rsidRPr="00BD4748">
        <w:rPr>
          <w:rFonts w:ascii="Calibri" w:hAnsi="Calibri" w:cs="Calibri"/>
          <w:b/>
          <w:bCs/>
          <w:sz w:val="20"/>
          <w:szCs w:val="20"/>
        </w:rPr>
        <w:t>Mitigación de Riesgos</w:t>
      </w:r>
      <w:r w:rsidRPr="00BD4748">
        <w:rPr>
          <w:rFonts w:ascii="Calibri" w:hAnsi="Calibri" w:cs="Calibri"/>
          <w:sz w:val="20"/>
          <w:szCs w:val="20"/>
        </w:rPr>
        <w:t>: Al producir agua directamente en la costa mediante energía solar y mecánica de las olas, se elimina el componente de precio de la energía de red, mitigando la volatilidad del mercado eléctrico.</w:t>
      </w:r>
    </w:p>
    <w:p w14:paraId="08318AC8" w14:textId="6F3DE977" w:rsidR="00BD4748" w:rsidRPr="00BD4748" w:rsidRDefault="00BD4748" w:rsidP="00BD4748">
      <w:pPr>
        <w:spacing w:line="240" w:lineRule="auto"/>
        <w:jc w:val="both"/>
        <w:rPr>
          <w:rFonts w:ascii="Calibri" w:hAnsi="Calibri" w:cs="Calibri"/>
          <w:b/>
          <w:bCs/>
          <w:sz w:val="20"/>
          <w:szCs w:val="20"/>
        </w:rPr>
      </w:pPr>
      <w:r>
        <w:rPr>
          <w:rFonts w:ascii="Calibri" w:hAnsi="Calibri" w:cs="Calibri"/>
          <w:b/>
          <w:bCs/>
          <w:sz w:val="20"/>
          <w:szCs w:val="20"/>
        </w:rPr>
        <w:t>4</w:t>
      </w:r>
      <w:r w:rsidRPr="00BD4748">
        <w:rPr>
          <w:rFonts w:ascii="Calibri" w:hAnsi="Calibri" w:cs="Calibri"/>
          <w:b/>
          <w:bCs/>
          <w:sz w:val="20"/>
          <w:szCs w:val="20"/>
        </w:rPr>
        <w:t>. Resiliencia Operacional y Valor Territorial</w:t>
      </w:r>
    </w:p>
    <w:p w14:paraId="6FA5C909" w14:textId="77777777" w:rsidR="00BD4748" w:rsidRPr="00BD4748" w:rsidRDefault="00BD4748" w:rsidP="00BD4748">
      <w:pPr>
        <w:spacing w:line="240" w:lineRule="auto"/>
        <w:jc w:val="both"/>
        <w:rPr>
          <w:rFonts w:ascii="Calibri" w:hAnsi="Calibri" w:cs="Calibri"/>
          <w:sz w:val="20"/>
          <w:szCs w:val="20"/>
        </w:rPr>
      </w:pPr>
      <w:r w:rsidRPr="00BD4748">
        <w:rPr>
          <w:rFonts w:ascii="Calibri" w:hAnsi="Calibri" w:cs="Calibri"/>
          <w:sz w:val="20"/>
          <w:szCs w:val="20"/>
        </w:rPr>
        <w:t>La infraestructura modular permite acercar la producción de agua directamente a los puntos de consumo, ya sea para la industria o comunidades.</w:t>
      </w:r>
    </w:p>
    <w:p w14:paraId="461E48D1" w14:textId="77777777" w:rsidR="00BD4748" w:rsidRPr="00BD4748" w:rsidRDefault="00BD4748" w:rsidP="00BD4748">
      <w:pPr>
        <w:numPr>
          <w:ilvl w:val="0"/>
          <w:numId w:val="13"/>
        </w:numPr>
        <w:spacing w:line="240" w:lineRule="auto"/>
        <w:jc w:val="both"/>
        <w:rPr>
          <w:rFonts w:ascii="Calibri" w:hAnsi="Calibri" w:cs="Calibri"/>
          <w:sz w:val="20"/>
          <w:szCs w:val="20"/>
        </w:rPr>
      </w:pPr>
      <w:r w:rsidRPr="00BD4748">
        <w:rPr>
          <w:rFonts w:ascii="Calibri" w:hAnsi="Calibri" w:cs="Calibri"/>
          <w:b/>
          <w:bCs/>
          <w:sz w:val="20"/>
          <w:szCs w:val="20"/>
        </w:rPr>
        <w:t xml:space="preserve">Lógica de </w:t>
      </w:r>
      <w:proofErr w:type="spellStart"/>
      <w:r w:rsidRPr="00BD4748">
        <w:rPr>
          <w:rFonts w:ascii="Calibri" w:hAnsi="Calibri" w:cs="Calibri"/>
          <w:b/>
          <w:bCs/>
          <w:sz w:val="20"/>
          <w:szCs w:val="20"/>
        </w:rPr>
        <w:t>Backup</w:t>
      </w:r>
      <w:proofErr w:type="spellEnd"/>
      <w:r w:rsidRPr="00BD4748">
        <w:rPr>
          <w:rFonts w:ascii="Calibri" w:hAnsi="Calibri" w:cs="Calibri"/>
          <w:b/>
          <w:bCs/>
          <w:sz w:val="20"/>
          <w:szCs w:val="20"/>
        </w:rPr>
        <w:t xml:space="preserve"> Crítico</w:t>
      </w:r>
      <w:r w:rsidRPr="00BD4748">
        <w:rPr>
          <w:rFonts w:ascii="Calibri" w:hAnsi="Calibri" w:cs="Calibri"/>
          <w:sz w:val="20"/>
          <w:szCs w:val="20"/>
        </w:rPr>
        <w:t>: Ante fallas en el Sistema Eléctrico Nacional (SEN), estas unidades híbridas mantienen operativos los sistemas de emergencia en la costa.</w:t>
      </w:r>
    </w:p>
    <w:p w14:paraId="12DC5F28" w14:textId="77777777" w:rsidR="00BD4748" w:rsidRPr="00BD4748" w:rsidRDefault="00BD4748" w:rsidP="00BD4748">
      <w:pPr>
        <w:numPr>
          <w:ilvl w:val="0"/>
          <w:numId w:val="13"/>
        </w:numPr>
        <w:spacing w:line="240" w:lineRule="auto"/>
        <w:jc w:val="both"/>
        <w:rPr>
          <w:rFonts w:ascii="Calibri" w:hAnsi="Calibri" w:cs="Calibri"/>
          <w:sz w:val="20"/>
          <w:szCs w:val="20"/>
        </w:rPr>
      </w:pPr>
      <w:r w:rsidRPr="00BD4748">
        <w:rPr>
          <w:rFonts w:ascii="Calibri" w:hAnsi="Calibri" w:cs="Calibri"/>
          <w:b/>
          <w:bCs/>
          <w:sz w:val="20"/>
          <w:szCs w:val="20"/>
        </w:rPr>
        <w:t>Generación de Valor Compartido</w:t>
      </w:r>
      <w:r w:rsidRPr="00BD4748">
        <w:rPr>
          <w:rFonts w:ascii="Calibri" w:hAnsi="Calibri" w:cs="Calibri"/>
          <w:sz w:val="20"/>
          <w:szCs w:val="20"/>
        </w:rPr>
        <w:t>: El uso de energía solar y undimotriz permite producir "Agua de Mitigación" para caletas y sistemas sanitarios rurales (ex APR) con una huella de carbono mínima.</w:t>
      </w:r>
    </w:p>
    <w:p w14:paraId="2B3B4438" w14:textId="77777777" w:rsidR="00BD4748" w:rsidRPr="00BD4748" w:rsidRDefault="00BD4748" w:rsidP="00BD4748">
      <w:pPr>
        <w:numPr>
          <w:ilvl w:val="0"/>
          <w:numId w:val="13"/>
        </w:numPr>
        <w:spacing w:line="240" w:lineRule="auto"/>
        <w:jc w:val="both"/>
        <w:rPr>
          <w:rFonts w:ascii="Calibri" w:hAnsi="Calibri" w:cs="Calibri"/>
          <w:sz w:val="20"/>
          <w:szCs w:val="20"/>
        </w:rPr>
      </w:pPr>
      <w:r w:rsidRPr="00BD4748">
        <w:rPr>
          <w:rFonts w:ascii="Calibri" w:hAnsi="Calibri" w:cs="Calibri"/>
          <w:b/>
          <w:bCs/>
          <w:sz w:val="20"/>
          <w:szCs w:val="20"/>
        </w:rPr>
        <w:lastRenderedPageBreak/>
        <w:t>Sustentabilidad Ecosistémica</w:t>
      </w:r>
      <w:r w:rsidRPr="00BD4748">
        <w:rPr>
          <w:rFonts w:ascii="Calibri" w:hAnsi="Calibri" w:cs="Calibri"/>
          <w:sz w:val="20"/>
          <w:szCs w:val="20"/>
        </w:rPr>
        <w:t>: Cada metro cúbico generado con estos sistemas autónomos evita la extracción de fuentes de agua dulce vulnerables, como ríos o acuíferos.</w:t>
      </w:r>
    </w:p>
    <w:p w14:paraId="05C79D41" w14:textId="120779EE" w:rsidR="00BD4748" w:rsidRPr="00BD4748" w:rsidRDefault="00FB0445" w:rsidP="00BD4748">
      <w:pPr>
        <w:spacing w:line="240" w:lineRule="auto"/>
        <w:jc w:val="both"/>
        <w:rPr>
          <w:rFonts w:ascii="Calibri" w:hAnsi="Calibri" w:cs="Calibri"/>
          <w:b/>
          <w:bCs/>
          <w:sz w:val="20"/>
          <w:szCs w:val="20"/>
        </w:rPr>
      </w:pPr>
      <w:r>
        <w:rPr>
          <w:rFonts w:ascii="Calibri" w:hAnsi="Calibri" w:cs="Calibri"/>
          <w:b/>
          <w:bCs/>
          <w:sz w:val="20"/>
          <w:szCs w:val="20"/>
        </w:rPr>
        <w:t>5</w:t>
      </w:r>
      <w:r w:rsidR="00BD4748" w:rsidRPr="00BD4748">
        <w:rPr>
          <w:rFonts w:ascii="Calibri" w:hAnsi="Calibri" w:cs="Calibri"/>
          <w:b/>
          <w:bCs/>
          <w:sz w:val="20"/>
          <w:szCs w:val="20"/>
        </w:rPr>
        <w:t>. Modelo de Implementación: Water-as-a-Service (WaaS)</w:t>
      </w:r>
    </w:p>
    <w:p w14:paraId="55E86DCD" w14:textId="77777777" w:rsidR="00BD4748" w:rsidRPr="00BD4748" w:rsidRDefault="00BD4748" w:rsidP="00BD4748">
      <w:pPr>
        <w:spacing w:line="240" w:lineRule="auto"/>
        <w:jc w:val="both"/>
        <w:rPr>
          <w:rFonts w:ascii="Calibri" w:hAnsi="Calibri" w:cs="Calibri"/>
          <w:sz w:val="20"/>
          <w:szCs w:val="20"/>
        </w:rPr>
      </w:pPr>
      <w:r w:rsidRPr="00BD4748">
        <w:rPr>
          <w:rFonts w:ascii="Calibri" w:hAnsi="Calibri" w:cs="Calibri"/>
          <w:sz w:val="20"/>
          <w:szCs w:val="20"/>
        </w:rPr>
        <w:t>Para facilitar la adopción de estas tecnologías híbridas en Chile, se propone un modelo de negocios que elimina las barreras de entrada:</w:t>
      </w:r>
    </w:p>
    <w:p w14:paraId="50C92B3C" w14:textId="77777777" w:rsidR="00BD4748" w:rsidRPr="00BD4748" w:rsidRDefault="00BD4748" w:rsidP="00BD4748">
      <w:pPr>
        <w:numPr>
          <w:ilvl w:val="0"/>
          <w:numId w:val="14"/>
        </w:numPr>
        <w:spacing w:line="240" w:lineRule="auto"/>
        <w:jc w:val="both"/>
        <w:rPr>
          <w:rFonts w:ascii="Calibri" w:hAnsi="Calibri" w:cs="Calibri"/>
          <w:sz w:val="20"/>
          <w:szCs w:val="20"/>
        </w:rPr>
      </w:pPr>
      <w:r w:rsidRPr="00BD4748">
        <w:rPr>
          <w:rFonts w:ascii="Calibri" w:hAnsi="Calibri" w:cs="Calibri"/>
          <w:b/>
          <w:bCs/>
          <w:sz w:val="20"/>
          <w:szCs w:val="20"/>
        </w:rPr>
        <w:t>Cero Inversión Inicial</w:t>
      </w:r>
      <w:r w:rsidRPr="00BD4748">
        <w:rPr>
          <w:rFonts w:ascii="Calibri" w:hAnsi="Calibri" w:cs="Calibri"/>
          <w:sz w:val="20"/>
          <w:szCs w:val="20"/>
        </w:rPr>
        <w:t>: A través de contratos de suministro a largo plazo, el usuario accede a tarifas estables sin CAPEX inicial.</w:t>
      </w:r>
    </w:p>
    <w:p w14:paraId="508C8DDD" w14:textId="77777777" w:rsidR="00BD4748" w:rsidRPr="00BD4748" w:rsidRDefault="00BD4748" w:rsidP="00BD4748">
      <w:pPr>
        <w:numPr>
          <w:ilvl w:val="0"/>
          <w:numId w:val="14"/>
        </w:numPr>
        <w:spacing w:line="240" w:lineRule="auto"/>
        <w:jc w:val="both"/>
        <w:rPr>
          <w:rFonts w:ascii="Calibri" w:hAnsi="Calibri" w:cs="Calibri"/>
          <w:sz w:val="20"/>
          <w:szCs w:val="20"/>
        </w:rPr>
      </w:pPr>
      <w:r w:rsidRPr="00BD4748">
        <w:rPr>
          <w:rFonts w:ascii="Calibri" w:hAnsi="Calibri" w:cs="Calibri"/>
          <w:b/>
          <w:bCs/>
          <w:sz w:val="20"/>
          <w:szCs w:val="20"/>
        </w:rPr>
        <w:t>Pagos por Servicios Ecosistémicos</w:t>
      </w:r>
      <w:r w:rsidRPr="00BD4748">
        <w:rPr>
          <w:rFonts w:ascii="Calibri" w:hAnsi="Calibri" w:cs="Calibri"/>
          <w:sz w:val="20"/>
          <w:szCs w:val="20"/>
        </w:rPr>
        <w:t>: Se pueden integrar esquemas donde el costo del agua financia indirectamente la conservación de la energía marina y los recursos naturales regionales.</w:t>
      </w:r>
    </w:p>
    <w:p w14:paraId="1D92898D" w14:textId="77777777" w:rsidR="00FB0445" w:rsidRDefault="00BD4748" w:rsidP="00FB0445">
      <w:pPr>
        <w:spacing w:after="0" w:line="240" w:lineRule="auto"/>
        <w:jc w:val="both"/>
        <w:rPr>
          <w:rFonts w:ascii="Calibri" w:hAnsi="Calibri" w:cs="Calibri"/>
          <w:sz w:val="20"/>
          <w:szCs w:val="20"/>
        </w:rPr>
      </w:pPr>
      <w:r w:rsidRPr="00BD4748">
        <w:rPr>
          <w:rFonts w:ascii="Calibri" w:hAnsi="Calibri" w:cs="Calibri"/>
          <w:b/>
          <w:bCs/>
          <w:sz w:val="20"/>
          <w:szCs w:val="20"/>
        </w:rPr>
        <w:t>Conclusión</w:t>
      </w:r>
      <w:r w:rsidRPr="00BD4748">
        <w:rPr>
          <w:rFonts w:ascii="Calibri" w:hAnsi="Calibri" w:cs="Calibri"/>
          <w:sz w:val="20"/>
          <w:szCs w:val="20"/>
        </w:rPr>
        <w:t xml:space="preserve"> </w:t>
      </w:r>
    </w:p>
    <w:p w14:paraId="3B2B34CC" w14:textId="43DD5855" w:rsidR="00BD4748" w:rsidRPr="00BD4748" w:rsidRDefault="00BD4748" w:rsidP="00BD4748">
      <w:pPr>
        <w:spacing w:line="240" w:lineRule="auto"/>
        <w:jc w:val="both"/>
        <w:rPr>
          <w:rFonts w:ascii="Calibri" w:hAnsi="Calibri" w:cs="Calibri"/>
          <w:sz w:val="20"/>
          <w:szCs w:val="20"/>
        </w:rPr>
      </w:pPr>
      <w:r w:rsidRPr="00BD4748">
        <w:rPr>
          <w:rFonts w:ascii="Calibri" w:hAnsi="Calibri" w:cs="Calibri"/>
          <w:sz w:val="20"/>
          <w:szCs w:val="20"/>
        </w:rPr>
        <w:t>En el horizonte 2025-2034, la convergencia de la energía solar y undimotriz actúa como un motor de descarbonización. Esta matriz diversificada no solo garantiza la resiliencia de la faena minera, sino que posiciona a Chile como líder en el uso de su vasta costa para una gestión hídrica responsable y eficiente.</w:t>
      </w:r>
    </w:p>
    <w:p w14:paraId="62AA6048" w14:textId="77777777" w:rsidR="001B5483" w:rsidRPr="001B5F0E" w:rsidRDefault="001B5483" w:rsidP="00BD4748">
      <w:pPr>
        <w:spacing w:line="240" w:lineRule="auto"/>
        <w:jc w:val="both"/>
        <w:rPr>
          <w:rFonts w:ascii="Calibri" w:hAnsi="Calibri" w:cs="Calibri"/>
          <w:sz w:val="20"/>
          <w:szCs w:val="20"/>
        </w:rPr>
      </w:pPr>
    </w:p>
    <w:sectPr w:rsidR="001B5483" w:rsidRPr="001B5F0E">
      <w:headerReference w:type="default" r:id="rId9"/>
      <w:footerReference w:type="default" r:id="rId10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B39F5F" w14:textId="77777777" w:rsidR="00234A61" w:rsidRDefault="00234A61" w:rsidP="00600A96">
      <w:pPr>
        <w:spacing w:after="0" w:line="240" w:lineRule="auto"/>
      </w:pPr>
      <w:r>
        <w:separator/>
      </w:r>
    </w:p>
  </w:endnote>
  <w:endnote w:type="continuationSeparator" w:id="0">
    <w:p w14:paraId="2BAC7C67" w14:textId="77777777" w:rsidR="00234A61" w:rsidRDefault="00234A61" w:rsidP="00600A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59CE90" w14:textId="66AB84F2" w:rsidR="00600A96" w:rsidRDefault="00600A96" w:rsidP="00600A96">
    <w:pPr>
      <w:pStyle w:val="Piedepgina"/>
      <w:jc w:val="center"/>
    </w:pPr>
    <w:r>
      <w:rPr>
        <w:noProof/>
      </w:rPr>
      <w:drawing>
        <wp:inline distT="0" distB="0" distL="0" distR="0" wp14:anchorId="5D182349" wp14:editId="020E8C87">
          <wp:extent cx="4617816" cy="504729"/>
          <wp:effectExtent l="0" t="0" r="0" b="0"/>
          <wp:docPr id="335028340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35028340" name="Imagen 33502834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685143" cy="51208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591371" w14:textId="77777777" w:rsidR="00234A61" w:rsidRDefault="00234A61" w:rsidP="00600A96">
      <w:pPr>
        <w:spacing w:after="0" w:line="240" w:lineRule="auto"/>
      </w:pPr>
      <w:r>
        <w:separator/>
      </w:r>
    </w:p>
  </w:footnote>
  <w:footnote w:type="continuationSeparator" w:id="0">
    <w:p w14:paraId="7D00D6FF" w14:textId="77777777" w:rsidR="00234A61" w:rsidRDefault="00234A61" w:rsidP="00600A9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233565" w14:textId="4635D653" w:rsidR="00600A96" w:rsidRDefault="00600A96">
    <w:pPr>
      <w:pStyle w:val="Encabezado"/>
    </w:pPr>
    <w:r>
      <w:rPr>
        <w:noProof/>
      </w:rPr>
      <w:drawing>
        <wp:inline distT="0" distB="0" distL="0" distR="0" wp14:anchorId="03F7D2A7" wp14:editId="5558F8AE">
          <wp:extent cx="2390775" cy="832361"/>
          <wp:effectExtent l="0" t="0" r="0" b="6350"/>
          <wp:docPr id="1958262005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58262005" name="Imagen 195826200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15897" cy="84110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48EC379" w14:textId="77777777" w:rsidR="00600A96" w:rsidRDefault="00600A96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B81D66"/>
    <w:multiLevelType w:val="multilevel"/>
    <w:tmpl w:val="15FCB5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8737C0"/>
    <w:multiLevelType w:val="multilevel"/>
    <w:tmpl w:val="DC868D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BF730D5"/>
    <w:multiLevelType w:val="multilevel"/>
    <w:tmpl w:val="21B6BB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1064201"/>
    <w:multiLevelType w:val="multilevel"/>
    <w:tmpl w:val="E7C030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81C2519"/>
    <w:multiLevelType w:val="multilevel"/>
    <w:tmpl w:val="D2A461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9C5552C"/>
    <w:multiLevelType w:val="multilevel"/>
    <w:tmpl w:val="9488A4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E032A74"/>
    <w:multiLevelType w:val="multilevel"/>
    <w:tmpl w:val="E0B4D3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B361E27"/>
    <w:multiLevelType w:val="multilevel"/>
    <w:tmpl w:val="ED545A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BA1314C"/>
    <w:multiLevelType w:val="multilevel"/>
    <w:tmpl w:val="E78C93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E9E371D"/>
    <w:multiLevelType w:val="multilevel"/>
    <w:tmpl w:val="3D1A99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4366451"/>
    <w:multiLevelType w:val="multilevel"/>
    <w:tmpl w:val="A68CB5E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7697FA8"/>
    <w:multiLevelType w:val="multilevel"/>
    <w:tmpl w:val="36FEF7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A9E6553"/>
    <w:multiLevelType w:val="multilevel"/>
    <w:tmpl w:val="DA78DF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E014F32"/>
    <w:multiLevelType w:val="multilevel"/>
    <w:tmpl w:val="D07CDE7E"/>
    <w:lvl w:ilvl="0">
      <w:start w:val="1"/>
      <w:numFmt w:val="bullet"/>
      <w:lvlText w:val="●"/>
      <w:lvlJc w:val="left"/>
      <w:pPr>
        <w:ind w:left="3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0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18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○"/>
      <w:lvlJc w:val="left"/>
      <w:pPr>
        <w:ind w:left="32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39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○"/>
      <w:lvlJc w:val="left"/>
      <w:pPr>
        <w:ind w:left="54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1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num w:numId="1" w16cid:durableId="647322309">
    <w:abstractNumId w:val="7"/>
  </w:num>
  <w:num w:numId="2" w16cid:durableId="1843859642">
    <w:abstractNumId w:val="3"/>
  </w:num>
  <w:num w:numId="3" w16cid:durableId="874465886">
    <w:abstractNumId w:val="11"/>
  </w:num>
  <w:num w:numId="4" w16cid:durableId="1329941214">
    <w:abstractNumId w:val="8"/>
  </w:num>
  <w:num w:numId="5" w16cid:durableId="1399598239">
    <w:abstractNumId w:val="9"/>
  </w:num>
  <w:num w:numId="6" w16cid:durableId="1211116116">
    <w:abstractNumId w:val="4"/>
  </w:num>
  <w:num w:numId="7" w16cid:durableId="883175327">
    <w:abstractNumId w:val="2"/>
  </w:num>
  <w:num w:numId="8" w16cid:durableId="1488741282">
    <w:abstractNumId w:val="5"/>
  </w:num>
  <w:num w:numId="9" w16cid:durableId="1198082360">
    <w:abstractNumId w:val="13"/>
  </w:num>
  <w:num w:numId="10" w16cid:durableId="191187808">
    <w:abstractNumId w:val="10"/>
  </w:num>
  <w:num w:numId="11" w16cid:durableId="1954827885">
    <w:abstractNumId w:val="6"/>
  </w:num>
  <w:num w:numId="12" w16cid:durableId="564724441">
    <w:abstractNumId w:val="0"/>
  </w:num>
  <w:num w:numId="13" w16cid:durableId="653529215">
    <w:abstractNumId w:val="12"/>
  </w:num>
  <w:num w:numId="14" w16cid:durableId="77255355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0685"/>
    <w:rsid w:val="0009425B"/>
    <w:rsid w:val="000B5534"/>
    <w:rsid w:val="001B5483"/>
    <w:rsid w:val="001B5F0E"/>
    <w:rsid w:val="001E5E11"/>
    <w:rsid w:val="00234A61"/>
    <w:rsid w:val="00326115"/>
    <w:rsid w:val="004249DA"/>
    <w:rsid w:val="004324FC"/>
    <w:rsid w:val="0049646C"/>
    <w:rsid w:val="00571AC2"/>
    <w:rsid w:val="00600A96"/>
    <w:rsid w:val="006A1F1D"/>
    <w:rsid w:val="00710537"/>
    <w:rsid w:val="00710CE1"/>
    <w:rsid w:val="007B6FAF"/>
    <w:rsid w:val="00866874"/>
    <w:rsid w:val="00880685"/>
    <w:rsid w:val="008A5735"/>
    <w:rsid w:val="008C1127"/>
    <w:rsid w:val="009B4B0E"/>
    <w:rsid w:val="00AA31CD"/>
    <w:rsid w:val="00AA5312"/>
    <w:rsid w:val="00AD76C4"/>
    <w:rsid w:val="00B022C2"/>
    <w:rsid w:val="00BD4748"/>
    <w:rsid w:val="00C2620A"/>
    <w:rsid w:val="00D45B03"/>
    <w:rsid w:val="00D71F09"/>
    <w:rsid w:val="00F27C0F"/>
    <w:rsid w:val="00FA6B82"/>
    <w:rsid w:val="00FB04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5E70E9"/>
  <w15:chartTrackingRefBased/>
  <w15:docId w15:val="{1B25BD54-614B-4DD8-9D92-CA0E007B56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88068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88068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88068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88068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88068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88068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88068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88068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88068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88068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88068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88068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880685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880685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880685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880685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880685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880685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88068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88068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88068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88068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88068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880685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880685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880685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88068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880685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880685"/>
    <w:rPr>
      <w:b/>
      <w:bCs/>
      <w:smallCaps/>
      <w:color w:val="0F4761" w:themeColor="accent1" w:themeShade="BF"/>
      <w:spacing w:val="5"/>
    </w:rPr>
  </w:style>
  <w:style w:type="character" w:styleId="Hipervnculo">
    <w:name w:val="Hyperlink"/>
    <w:basedOn w:val="Fuentedeprrafopredeter"/>
    <w:uiPriority w:val="99"/>
    <w:unhideWhenUsed/>
    <w:rsid w:val="00600A96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600A96"/>
    <w:rPr>
      <w:color w:val="605E5C"/>
      <w:shd w:val="clear" w:color="auto" w:fill="E1DFDD"/>
    </w:rPr>
  </w:style>
  <w:style w:type="paragraph" w:styleId="Encabezado">
    <w:name w:val="header"/>
    <w:basedOn w:val="Normal"/>
    <w:link w:val="EncabezadoCar"/>
    <w:uiPriority w:val="99"/>
    <w:unhideWhenUsed/>
    <w:rsid w:val="00600A9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600A96"/>
  </w:style>
  <w:style w:type="paragraph" w:styleId="Piedepgina">
    <w:name w:val="footer"/>
    <w:basedOn w:val="Normal"/>
    <w:link w:val="PiedepginaCar"/>
    <w:uiPriority w:val="99"/>
    <w:unhideWhenUsed/>
    <w:rsid w:val="00600A9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600A9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ochilco.cl/web/download/1014/2026/15677/proyeccion-de-consumo-de-energia-electrica-de-la-mineria-del-cobre-periodo-2025-2034.pdf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cochilco.cl/web/informe-proyeccion-del-consumo-de-energia-electrica-en-la-mineria-del-cobre-periodo-2025-2034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625</Words>
  <Characters>3442</Characters>
  <Application>Microsoft Office Word</Application>
  <DocSecurity>0</DocSecurity>
  <Lines>28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Carlos Rubilar Camurri</dc:creator>
  <cp:keywords/>
  <dc:description/>
  <cp:lastModifiedBy>Carlos Rubilar Camurri</cp:lastModifiedBy>
  <cp:revision>2</cp:revision>
  <dcterms:created xsi:type="dcterms:W3CDTF">2026-04-20T23:21:00Z</dcterms:created>
  <dcterms:modified xsi:type="dcterms:W3CDTF">2026-04-20T23:21:00Z</dcterms:modified>
</cp:coreProperties>
</file>